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🔖 AI热点日报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555555"/>
          <w:sz w:val="28"/>
          <w:szCs w:val="28"/>
        </w:rPr>
        <w:t xml:space="preserve">2026年6月16日 · 星期二</w:t>
      </w:r>
    </w:p>
    <w:p>
      <w:pPr>
        <w:spacing w:after="600"/>
        <w:jc w:val="center"/>
      </w:pPr>
      <w:r>
        <w:rPr>
          <w:rFonts w:ascii="Arial" w:eastAsia="Microsoft YaHei" w:hAnsi="Arial"/>
          <w:b w:val="false"/>
          <w:bCs w:val="false"/>
          <w:color w:val="777777"/>
          <w:sz w:val="22"/>
          <w:szCs w:val="22"/>
        </w:rPr>
        <w:t xml:space="preserve">人工智能领域每日精选热点与深度解读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一、AI监管与政策动态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c3e50"/>
                <w:sz w:val="22"/>
                <w:szCs w:val="22"/>
              </w:rPr>
              <w:t xml:space="preserve">⚠️ 重点关注：AI生成内容强制标注新规全网落地</w:t>
            </w:r>
          </w:p>
          <w:p>
            <w:pPr>
              <w:spacing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今日零点起，AI生成内容强制标注新规正式全网落地。所有AI图文、短视频、音视频内容必须添加专属水印标识，配套AI内容审核管理系统全平台上线，严查深度伪造、虚假AI合成内容乱象。这是我国在AI治理领域的里程碑式举措。</w:t>
            </w:r>
          </w:p>
        </w:tc>
      </w:tr>
    </w:tbl>
    <w:p>
      <w:pPr>
        <w:spacing w:after="80"/>
      </w:pP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美国签署全新AI行政令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美国政府签署全新AI行政令，建立政企自愿AI安全评估机制，要求前沿通用大模型上线前向联邦机构提交安全测试报告，同步搭建AI网络安全开源检测工具库，面向全球开发者免费开放。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欧盟AI法案即将全面生效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欧盟《AI法案》将于2026年8月2日全面执行，违规企业最高面临全球年营业额6%的罚款。全球AI监管趋严，企业需提前做好合规准备。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 美国科罗拉多州AI法案即将生效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继欧盟之后，美国科罗拉多州AI法案将于6月30日正式生效，全球AI监管立法进程加速推进。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 G7峰会将AI纳入核心议题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人工智能已从科技领域问题上升为国家战略议题。多国领导人在G7峰会上重点讨讨AI发展带来的机遇与挑战，特别是在网络安全、青少年保护、就业结构变化以及数据治理方面，各国希望建立更加统一的国际合作框架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二、国内AI产业动态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DeepSeek完成超500亿元首轮融资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中国AI企业DeepSeek完成超500亿元首轮融资，创中国AI单轮融资纪录，彰显国内人工智能产业投资热度。OpenRoot数据显示，国内AI大模型周调用量连续七周全球第一，上周全球总Token调用44.6万亿，国产模型占比近40%。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智谱AI发布ZCode 3.0代码大模型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智谱AI正式发布ZCode 3.0代码大模型，全面替换自研Agent内核，深度适配GLM-5.2超大上下文模型，新增项目知识库、自动化代码重构、漏洞扫描功能，面向企业开发者开放私有化部署包。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 无界动力推出具身智能一体化平台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无界动力推出隐空间世界模型与MWA具身大脑一体化开发平台，拿下国内具身智能首笔亿元级海外软件开发订单，整套机器人控制软件开源商用授权同步开放。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 物理AI落地加速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上交所举办智能终端主题业绩说明会，中国通号、中控技术、云天励飞、步科股份等4家科创板上市公司“剧透”物理AI新进展。大模型让全世界看到了AI的潜力，但真正让潜力变成生产力的，是扎根在一线的实体产业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 招商银行创新引入Token权益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招商银行运通工程师信用卡推出专属AI权益，创新将Token纳入新户首刷礼。这是信用卡行业从生活消费权益向生产力权益跨界的标志性尝试，未来权益载体将从实物、服务向数字权益、算力额度、模型权限延伸。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三、海外AI动态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微软Build 2026发布7款MAI自研模型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微软在Build 2026大会上发布7款MAI自研AI模型，旗舰推理模型MAI-Thinking-1（35B参数）针对Maia 200云端芯片深度优化，配套VS Code专属AI编程插件同步上线，降低海外企业对第三方大模型依赖。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OpenAI即将发布GPT-5.6并酒酿降价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OpenAI计划发布新一代大模型GPT-5.6，同时酒酿大幅降价策略，全球大模型竞争进入白热化阶段。此外，OpenAI推出企业工作流智能体连接器，帮助企业将AI能力深度集成到日常业务流程中。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 Anthropic发布双旗舰模型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Anthropic发布两款旗舰大模型Claude Fable 5和Mythos 5，在推理能力和多模态处理方面实现显著提升。值得注意的是，美国政府已封禁Anthropic最新AI模型出口，理由是“担心某些国家利用这些模型”。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 谷歌DeepMind发布开源文本扩散模型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谷歌DeepMind发布开源文本扩散模型DiffusionGemma，为AI文本生成领域提供新的技术路线选择。同时，DeepMind“Turing-Bio”AI系统独立完成首个重大科学发现，标志着AI在科学研究领域取得突破性进展。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 英伟达Cosmos 3物理仿真模型更新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英伟达Cosmos 3物理仿真大模型更新新版本，新增航空、储能设备仿真套件，工业企业可依托软件完成飞行器、储能电池数字化测试，无需实体样机。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四、AI硬件与算力基础设施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燧原科技科创板IPO过会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燧原科技科创板IPO顺利过会，拟募资60亿元研发第五、六代国产云端AI训练芯片，加速高端算力芯片自主替代。“国产GPU四小龙”即将会师资本市场。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AI存储供不应求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美股存储芯片板块全线暴涨，西部数据单日涨庅16%创年内新高。三星、SK海力士70%以上先进晶圆产能供给HBM高带宽内存，全球AI存储持续供不应求，合约价格持续上调。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 国产1.6T光模块批量交付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国产1.6T薄膜铌酸锂光模块持续批量交付智算中心，上游晶圆、封装产线满负荷生产。机构预测2026年全球AI PC出货1.43亿台，国内端使NPU笔记本新品集中备案待上市。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五、AI应用与行业落地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优必选U1人形机器人开启预售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优必选U1消费级人形机器人今日开启正式预售，上线10天定金订单近4000台，搭载专属情感大模型、88自由度关节，配套移动端控制App同步更新上线。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理想汽车发布具身智能系统Livis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理想汽车发布车载具身智能系统Livis，搭载自研马赫M100 Ultra车规NPU芯片与马赫VLA大模型，整车BMS电池管理软件完成OTA升级。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 Windsurf收购案上演72小时“三国杀”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AI编程工具Windsurf收购案引发多方角逐，72小时内出现多次反转，反映出AI开发工具领域的激烈竞争态势。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 海博思创拿下海外储能大单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海博思创官宣拿下北美2GWh、欧洲超1GWh大型储能海外订单，自研AI储能预测调度系统同步配套交付，可动态优化电芯温控、充放电策略。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六、资本市场与投资视角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 A股AI算力半导体持续走强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6月16日A股行情核心机会集中在AI算力半导体、战略稀有金属、人形机器人高端制造三大板块。沪指站稳4000点，科创50表现领跑各大指数。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 人形机器人板块受资本追捧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A股人形机器人高端制造板块持续受到资金关注，政策、产业、资金多重利好集中发酵，板块内部低位细分标的补涨空间充足。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七、今日总结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c3e50"/>
                <w:sz w:val="22"/>
                <w:szCs w:val="22"/>
              </w:rPr>
              <w:t xml:space="preserve">💡 核心观点</w:t>
            </w:r>
          </w:p>
          <w:p>
            <w:pPr>
              <w:spacing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1"/>
                <w:szCs w:val="21"/>
              </w:rPr>
              <w:t xml:space="preserve">2026年6月16日，AI领域呈现“监管与创新并行”的格局。国内方面，AI生成内容强制标注新规正式落地，DeepSeek创纪录融资彰显产业活力，国产大模型调用量全球领先。海外方面，微软、OpenAI、Anthropic等头部企业密集发布新品，美国新AI行政令强化安全审查。全球AI竞争正在从技术层面向治理、产业、安全多维度扩展，企业需在合规、技术、市场三个维度同时发力。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数据来源：头条科技新闻、四大证券报、国家统计局、欧盟委员会、OpenRoot等公开信息。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免责声明：本报告内容综合整理自公开网络信息，仅供信息参考，不构成任何投资建议。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— </w:t>
    </w:r>
    <w:r>
      <w:rPr>
        <w:rFonts w:ascii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888888"/>
        <w:sz w:val="18"/>
        <w:szCs w:val="18"/>
      </w:rPr>
      <w:t xml:space="preserve">AI热点日报 | 2026年6月16日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2026-06-16T01:13:47.737Z</dcterms:created>
  <dcterms:modified xsi:type="dcterms:W3CDTF">2026-06-16T01:13:47.739Z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