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BA725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天财分账需求</w:t>
      </w:r>
    </w:p>
    <w:p w14:paraId="3DBD80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1.9上线</w:t>
      </w:r>
    </w:p>
    <w:p w14:paraId="15183D7E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一、需求背景</w:t>
      </w:r>
      <w:bookmarkEnd w:id="0"/>
    </w:p>
    <w:p w14:paraId="0AC9DF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满足天财商龙门店分账、会员结算、批量付款需求，特开放天财专用账户、天财专用账户分账接口；</w:t>
      </w:r>
    </w:p>
    <w:p w14:paraId="7ABD143A">
      <w:pPr>
        <w:spacing w:before="120" w:after="120" w:line="288" w:lineRule="auto"/>
        <w:ind w:left="0"/>
        <w:jc w:val="left"/>
      </w:pPr>
    </w:p>
    <w:p w14:paraId="1F382383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二、业务流程</w:t>
      </w:r>
      <w:bookmarkEnd w:id="1"/>
    </w:p>
    <w:p w14:paraId="1DC166A9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（一）业务方案</w:t>
      </w:r>
      <w:bookmarkEnd w:id="2"/>
    </w:p>
    <w:p w14:paraId="5E12A264">
      <w:pPr>
        <w:spacing w:before="120" w:after="120" w:line="288" w:lineRule="auto"/>
        <w:ind w:left="0"/>
        <w:jc w:val="left"/>
      </w:pPr>
    </w:p>
    <w:p w14:paraId="1869F1D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5105400"/>
            <wp:effectExtent l="0" t="0" r="0" b="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140E">
      <w:pPr>
        <w:spacing w:before="120" w:after="120" w:line="288" w:lineRule="auto"/>
        <w:ind w:left="0"/>
        <w:jc w:val="left"/>
      </w:pPr>
    </w:p>
    <w:p w14:paraId="2E201B35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（二）开户</w:t>
      </w:r>
      <w:bookmarkEnd w:id="3"/>
    </w:p>
    <w:p w14:paraId="553547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1.开户类型</w:t>
      </w:r>
    </w:p>
    <w:p w14:paraId="4E3455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1）一个收单商户开一个天财收款账户，类型：行业钱包（非小微钱包）；</w:t>
      </w:r>
    </w:p>
    <w:p w14:paraId="30136D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2）天财收款账户、天财接收方账户均开立专用账户，在账户系统底层做区分；不允许转账给普通账户；</w:t>
      </w:r>
    </w:p>
    <w:p w14:paraId="21DC75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3）天财接收方账户（在三代、钱包系统）支持绑定多张银行卡</w:t>
      </w:r>
      <w:r>
        <w:rPr>
          <w:rFonts w:ascii="Arial" w:hAnsi="Arial" w:eastAsia="等线" w:cs="Arial"/>
          <w:sz w:val="22"/>
          <w:shd w:val="clear" w:fill="FFF67A"/>
        </w:rPr>
        <w:t>，并设置默认提现卡</w:t>
      </w:r>
      <w:r>
        <w:rPr>
          <w:rFonts w:ascii="Arial" w:hAnsi="Arial" w:eastAsia="等线" w:cs="Arial"/>
          <w:sz w:val="22"/>
        </w:rPr>
        <w:t>；</w:t>
      </w:r>
    </w:p>
    <w:p w14:paraId="00D7EE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4）天财机构号下，普通收单商户（主动、被动结算）要开通转账能力时，支持新商户号新开天财收款账户。</w:t>
      </w:r>
      <w:r>
        <w:rPr>
          <w:rFonts w:ascii="Arial" w:hAnsi="Arial" w:eastAsia="等线" w:cs="Arial"/>
          <w:sz w:val="22"/>
          <w:shd w:val="clear" w:fill="FFF67A"/>
        </w:rPr>
        <w:t>（或下期支持根据审批结果）增加升级为天财专用账户能力；</w:t>
      </w:r>
    </w:p>
    <w:p w14:paraId="28630E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5）该套开户接口限定只能由天财来调，三代通过机构号和appid限制调用方；</w:t>
      </w:r>
    </w:p>
    <w:p w14:paraId="669E487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天财提供新商户开通该业务的资料时（比如协议），三代审核通过后，即可开通天财专用账户；</w:t>
      </w:r>
    </w:p>
    <w:p w14:paraId="7759972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天财原有（被动结算）商户申请开通该业务，三代审核通过后，调用钱包系统-账户系统开通天财专用账户，并返回天财开户结果。如天财想次日生效【切换到”主动结算至该专用账户“】，设置0点调用即可；</w:t>
      </w:r>
    </w:p>
    <w:p w14:paraId="008DD241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天财原有（主动结算）商户申请开通该业务，三代审核通过后，调用钱包系统-账户系统将原收款账户升级为天财专用账户，并返回天财开户结果。如天财想次日生效【切换到”主动结算至该专用账户“】，设置0点调用即可；</w:t>
      </w:r>
    </w:p>
    <w:p w14:paraId="08366F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6）老商户如新开”天财专用账户“业务，均由天财调接口，如新开通”天财收款账户“，均会通过接口告知天财；</w:t>
      </w:r>
    </w:p>
    <w:p w14:paraId="533D091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7）</w:t>
      </w:r>
      <w:r>
        <w:rPr>
          <w:rFonts w:ascii="Arial" w:hAnsi="Arial" w:eastAsia="等线" w:cs="Arial"/>
          <w:sz w:val="22"/>
          <w:shd w:val="clear" w:fill="FBBFBC"/>
        </w:rPr>
        <w:t>老商户由被动结算切换至普通主动结算模式，需要拉卡拉入口端限制，只允许天财来调，否则修改模式后，数据同步不到天财系统，无法准确查询具体账户余额；</w:t>
      </w:r>
      <w:r>
        <w:rPr>
          <w:rFonts w:ascii="Arial" w:hAnsi="Arial" w:eastAsia="等线" w:cs="Arial"/>
          <w:sz w:val="22"/>
        </w:rPr>
        <w:t>三代目前不允许主动结算切换至被动结算；</w:t>
      </w:r>
    </w:p>
    <w:p w14:paraId="171259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8）如果先开通了专用收款账户，天财又调接口开通普通收款账户，三代、行业钱包拦截报错；</w:t>
      </w:r>
    </w:p>
    <w:p w14:paraId="2B5929E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bookmarkStart w:id="27" w:name="_GoBack"/>
      <w:bookmarkEnd w:id="27"/>
    </w:p>
    <w:p w14:paraId="2EB88FB0">
      <w:pPr>
        <w:spacing w:before="120" w:after="120" w:line="288" w:lineRule="auto"/>
        <w:ind w:left="0"/>
        <w:jc w:val="left"/>
      </w:pPr>
    </w:p>
    <w:p w14:paraId="7DD002BF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162175"/>
            <wp:effectExtent l="0" t="0" r="0" b="1905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E5C1">
      <w:pPr>
        <w:spacing w:before="120" w:after="120" w:line="288" w:lineRule="auto"/>
        <w:ind w:left="0"/>
        <w:jc w:val="left"/>
      </w:pPr>
    </w:p>
    <w:p w14:paraId="480A66E4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066925"/>
            <wp:effectExtent l="0" t="0" r="0" b="5715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3D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2.开户流程</w:t>
      </w:r>
    </w:p>
    <w:p w14:paraId="696859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1）开立天财收款账户时，天财送角色类型（总部、门店），钱包系统存储商户号对应的账户类型、角色类型；</w:t>
      </w:r>
    </w:p>
    <w:p w14:paraId="179F47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2）三代在天财接收方开户时，与普通接收方一样，均需做4要素验证；</w:t>
      </w:r>
    </w:p>
    <w:p w14:paraId="657FC9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3）三代提供“天财专用分账开户接口”，业务运营审核通过，调行业钱包系统开户；</w:t>
      </w:r>
    </w:p>
    <w:p w14:paraId="4E7E01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4）开立天财收款账户时，三代结算模式设置为主动结算，结算账户默认设置为该商户号新开立的天财收款账户；</w:t>
      </w:r>
    </w:p>
    <w:p w14:paraId="3436B2E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610100"/>
            <wp:effectExtent l="0" t="0" r="0" b="7620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A51E3">
      <w:pPr>
        <w:spacing w:before="120" w:after="120" w:line="288" w:lineRule="auto"/>
        <w:ind w:left="0"/>
        <w:jc w:val="left"/>
      </w:pPr>
    </w:p>
    <w:p w14:paraId="386324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3.业务开通与审核流程</w:t>
      </w:r>
    </w:p>
    <w:p w14:paraId="2C3368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1）拉生意进件，屏蔽收款账户开户；</w:t>
      </w:r>
    </w:p>
    <w:p w14:paraId="787264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2）三代按二级机构管理（品牌与门店），按二级机构立项审核后，线上签约（结算授权委托书）即自动通过审核；</w:t>
      </w:r>
    </w:p>
    <w:p w14:paraId="4250F2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3）开通产品流程：先开通“天财账户”，如为归集场景-再“绑定关系”；如为批量付款&amp;会员结算，需付方再“开通付款”后做“关系绑定”；</w:t>
      </w:r>
    </w:p>
    <w:p w14:paraId="361470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4）三代、行业钱包、账户系统对天财机构下的所有账户打标记；</w:t>
      </w:r>
    </w:p>
    <w:p w14:paraId="75961177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333875"/>
            <wp:effectExtent l="0" t="0" r="0" b="9525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8A5E">
      <w:pPr>
        <w:spacing w:before="120" w:after="120" w:line="288" w:lineRule="auto"/>
        <w:ind w:left="0"/>
        <w:jc w:val="left"/>
      </w:pPr>
    </w:p>
    <w:p w14:paraId="7321BD91">
      <w:pPr>
        <w:spacing w:before="120" w:after="120" w:line="288" w:lineRule="auto"/>
        <w:ind w:left="0"/>
        <w:jc w:val="left"/>
      </w:pPr>
    </w:p>
    <w:p w14:paraId="2271393D">
      <w:pPr>
        <w:spacing w:before="120" w:after="120" w:line="288" w:lineRule="auto"/>
        <w:ind w:left="0"/>
        <w:jc w:val="left"/>
      </w:pPr>
    </w:p>
    <w:p w14:paraId="3A1312ED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（三）关系绑定（签约与认证）</w:t>
      </w:r>
      <w:bookmarkEnd w:id="4"/>
    </w:p>
    <w:p w14:paraId="014960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1.规则说明：创建3套关系</w:t>
      </w:r>
    </w:p>
    <w:p w14:paraId="7F45BE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1）富友流程：</w:t>
      </w:r>
    </w:p>
    <w:p w14:paraId="3585A14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门店归集关系：收单账户之间，</w:t>
      </w:r>
      <w:r>
        <w:rPr>
          <w:rFonts w:ascii="Arial" w:hAnsi="Arial" w:eastAsia="等线" w:cs="Arial"/>
          <w:b/>
          <w:sz w:val="22"/>
        </w:rPr>
        <w:t>个体、企业均打款验证，由富友打款给付方（门店），</w:t>
      </w:r>
      <w:r>
        <w:rPr>
          <w:rFonts w:ascii="Arial" w:hAnsi="Arial" w:eastAsia="等线" w:cs="Arial"/>
          <w:sz w:val="22"/>
        </w:rPr>
        <w:t>短信发给品牌填的</w:t>
      </w:r>
      <w:r>
        <w:rPr>
          <w:rFonts w:ascii="Arial" w:hAnsi="Arial" w:eastAsia="等线" w:cs="Arial"/>
          <w:b/>
          <w:sz w:val="22"/>
        </w:rPr>
        <w:t>授权联系人（门店）；</w:t>
      </w:r>
    </w:p>
    <w:p w14:paraId="40DD5143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开入账方，建子户时：对公-</w:t>
      </w:r>
      <w:r>
        <w:rPr>
          <w:rFonts w:ascii="Arial" w:hAnsi="Arial" w:eastAsia="等线" w:cs="Arial"/>
          <w:b/>
          <w:sz w:val="22"/>
        </w:rPr>
        <w:t>打款验证（打款给收方）+协议，</w:t>
      </w:r>
      <w:r>
        <w:rPr>
          <w:rFonts w:ascii="Arial" w:hAnsi="Arial" w:eastAsia="等线" w:cs="Arial"/>
          <w:sz w:val="22"/>
        </w:rPr>
        <w:t>短信发给</w:t>
      </w:r>
      <w:r>
        <w:rPr>
          <w:rFonts w:ascii="Arial" w:hAnsi="Arial" w:eastAsia="等线" w:cs="Arial"/>
          <w:b/>
          <w:color w:val="D83931"/>
          <w:sz w:val="22"/>
        </w:rPr>
        <w:t>法人</w:t>
      </w:r>
      <w:r>
        <w:rPr>
          <w:rFonts w:ascii="Arial" w:hAnsi="Arial" w:eastAsia="等线" w:cs="Arial"/>
          <w:sz w:val="22"/>
        </w:rPr>
        <w:t>；个人、个体-人脸验证+协议，短信发给</w:t>
      </w:r>
      <w:r>
        <w:rPr>
          <w:rFonts w:ascii="Arial" w:hAnsi="Arial" w:eastAsia="等线" w:cs="Arial"/>
          <w:b/>
          <w:color w:val="D83931"/>
          <w:sz w:val="22"/>
        </w:rPr>
        <w:t>负责人</w:t>
      </w:r>
      <w:r>
        <w:rPr>
          <w:rFonts w:ascii="Arial" w:hAnsi="Arial" w:eastAsia="等线" w:cs="Arial"/>
          <w:sz w:val="22"/>
        </w:rPr>
        <w:t>；</w:t>
      </w:r>
    </w:p>
    <w:p w14:paraId="31FCD9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2）</w:t>
      </w:r>
      <w:r>
        <w:rPr>
          <w:rFonts w:ascii="Arial" w:hAnsi="Arial" w:eastAsia="等线" w:cs="Arial"/>
          <w:b/>
          <w:sz w:val="22"/>
        </w:rPr>
        <w:t>拉卡拉支持：</w:t>
      </w:r>
    </w:p>
    <w:p w14:paraId="4CE9B7C6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总部发起归集授权</w:t>
      </w:r>
      <w:r>
        <w:rPr>
          <w:rFonts w:ascii="Arial" w:hAnsi="Arial" w:eastAsia="等线" w:cs="Arial"/>
          <w:sz w:val="22"/>
        </w:rPr>
        <w:t>时：</w:t>
      </w:r>
    </w:p>
    <w:p w14:paraId="4FE5FEE2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A、总部&amp;拉卡拉签署线下协议（以法务为准）；--入网+</w:t>
      </w:r>
      <w:r>
        <w:rPr>
          <w:rFonts w:ascii="Arial" w:hAnsi="Arial" w:eastAsia="等线" w:cs="Arial"/>
          <w:b/>
          <w:sz w:val="22"/>
        </w:rPr>
        <w:t>开通业务（LKL协议）</w:t>
      </w:r>
    </w:p>
    <w:p w14:paraId="023DFB46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B、门店（授权联系人）做打款验证+协议签署（LKL&amp;门店代付+授权协议）</w:t>
      </w:r>
    </w:p>
    <w:p w14:paraId="5CE86E66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C、</w:t>
      </w:r>
      <w:r>
        <w:rPr>
          <w:rFonts w:ascii="Arial" w:hAnsi="Arial" w:eastAsia="等线" w:cs="Arial"/>
          <w:sz w:val="22"/>
          <w:shd w:val="clear" w:fill="FFF67A"/>
        </w:rPr>
        <w:t>天财送参至少包含：归集授权发起方商户全称(总部)、发起方商户号，用于明确是总部在天财提交的指令</w:t>
      </w:r>
      <w:r>
        <w:rPr>
          <w:rFonts w:ascii="Arial" w:hAnsi="Arial" w:eastAsia="等线" w:cs="Arial"/>
          <w:sz w:val="22"/>
        </w:rPr>
        <w:t>；其他参数：授权联系人手机号、归集信息（归集方/收方商户名称、归集方/收方商户号、被归集方/付方商户名称、被归集方/付方商户号、归集模式、订单归集最高比例、付方结算账户名称、付方结算卡/账号）、场景（枚举：</w:t>
      </w:r>
      <w:r>
        <w:rPr>
          <w:rFonts w:ascii="Arial" w:hAnsi="Arial" w:eastAsia="等线" w:cs="Arial"/>
          <w:sz w:val="22"/>
          <w:shd w:val="clear" w:fill="FFF67A"/>
        </w:rPr>
        <w:t>归集</w:t>
      </w:r>
      <w:r>
        <w:rPr>
          <w:rFonts w:ascii="Arial" w:hAnsi="Arial" w:eastAsia="等线" w:cs="Arial"/>
          <w:sz w:val="22"/>
        </w:rPr>
        <w:t>、批量付款、会员结算）、资金用途；</w:t>
      </w:r>
    </w:p>
    <w:p w14:paraId="3DC889A2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D、钱包系统校验场景=“归集授权”时：a、</w:t>
      </w:r>
      <w:r>
        <w:rPr>
          <w:rFonts w:ascii="Arial" w:hAnsi="Arial" w:eastAsia="等线" w:cs="Arial"/>
          <w:strike/>
          <w:sz w:val="22"/>
        </w:rPr>
        <w:t>付方角色是门店，收方角色是总部，</w:t>
      </w:r>
      <w:r>
        <w:rPr>
          <w:rFonts w:ascii="Arial" w:hAnsi="Arial" w:eastAsia="等线" w:cs="Arial"/>
          <w:sz w:val="22"/>
        </w:rPr>
        <w:t>收付方均为天财收款账户；b、</w:t>
      </w:r>
      <w:r>
        <w:rPr>
          <w:rFonts w:ascii="Arial" w:hAnsi="Arial" w:eastAsia="等线" w:cs="Arial"/>
          <w:sz w:val="22"/>
          <w:shd w:val="clear" w:fill="F76964"/>
        </w:rPr>
        <w:t>收方商户性质=企业</w:t>
      </w:r>
      <w:r>
        <w:rPr>
          <w:rFonts w:ascii="Arial" w:hAnsi="Arial" w:eastAsia="等线" w:cs="Arial"/>
          <w:sz w:val="22"/>
        </w:rPr>
        <w:t>；c、归集方（收方）商户号是否=发起方商户号校验。校验通过后，根据钱包系统留存的被归集方（门店）入网时绑定默认银行卡信息，生成归集授权流水请求电子签约平台；</w:t>
      </w:r>
    </w:p>
    <w:p w14:paraId="0E6DA85F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E、场景枚举主要用于短信模板+H5协议；</w:t>
      </w:r>
    </w:p>
    <w:p w14:paraId="2049D579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F、资金用途：缴纳品牌费、缴纳管理费、缴纳服务费、缴纳其他费、资金归集（多个）；根据资金用途生成不同归集授权协议内容；</w:t>
      </w:r>
    </w:p>
    <w:p w14:paraId="0FA666AC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批量付款场景</w:t>
      </w:r>
      <w:r>
        <w:rPr>
          <w:rFonts w:ascii="Arial" w:hAnsi="Arial" w:eastAsia="等线" w:cs="Arial"/>
          <w:sz w:val="22"/>
        </w:rPr>
        <w:t>（总部分账给接收方）：</w:t>
      </w:r>
    </w:p>
    <w:p w14:paraId="26A13A2F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A、总部&amp;拉卡拉签署线下或线上协议（以法务为准）；</w:t>
      </w:r>
    </w:p>
    <w:p w14:paraId="1678EAED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B、接收方：对公-法人（入网开户时要一致）接收短信，做打款验证+协议（总部&amp;接收方），对私-负责人接收短信，做人脸验证+协议（总部&amp;接受方）；</w:t>
      </w:r>
    </w:p>
    <w:p w14:paraId="34D870A2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C、</w:t>
      </w:r>
      <w:r>
        <w:rPr>
          <w:rFonts w:ascii="Arial" w:hAnsi="Arial" w:eastAsia="等线" w:cs="Arial"/>
          <w:sz w:val="22"/>
          <w:shd w:val="clear" w:fill="FFF67A"/>
        </w:rPr>
        <w:t>天财送参至少包含：发起方商户全称(总部)、发起方商户号，用于明确是总部在天财提交的指令</w:t>
      </w:r>
      <w:r>
        <w:rPr>
          <w:rFonts w:ascii="Arial" w:hAnsi="Arial" w:eastAsia="等线" w:cs="Arial"/>
          <w:sz w:val="22"/>
        </w:rPr>
        <w:t>；其他参数：付方商户号、付方账户（天财收款账户）、场景（枚举：归集、</w:t>
      </w:r>
      <w:r>
        <w:rPr>
          <w:rFonts w:ascii="Arial" w:hAnsi="Arial" w:eastAsia="等线" w:cs="Arial"/>
          <w:sz w:val="22"/>
          <w:shd w:val="clear" w:fill="FFF67A"/>
        </w:rPr>
        <w:t>批量付款</w:t>
      </w:r>
      <w:r>
        <w:rPr>
          <w:rFonts w:ascii="Arial" w:hAnsi="Arial" w:eastAsia="等线" w:cs="Arial"/>
          <w:sz w:val="22"/>
        </w:rPr>
        <w:t>、会员结算）、资金用途（供应商付款、股东分红、房租水电、补贴；）</w:t>
      </w:r>
    </w:p>
    <w:p w14:paraId="7E3A6878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D、钱包系统校验场景=“批量付款”时：a、付方账户=天财收款账户，</w:t>
      </w:r>
      <w:r>
        <w:rPr>
          <w:rFonts w:ascii="Arial" w:hAnsi="Arial" w:eastAsia="等线" w:cs="Arial"/>
          <w:b/>
          <w:sz w:val="22"/>
        </w:rPr>
        <w:t>收方账户性质=“天财接收方”</w:t>
      </w:r>
      <w:r>
        <w:rPr>
          <w:rFonts w:ascii="Arial" w:hAnsi="Arial" w:eastAsia="等线" w:cs="Arial"/>
          <w:sz w:val="22"/>
        </w:rPr>
        <w:t>；b、付方商户性质=</w:t>
      </w:r>
      <w:r>
        <w:rPr>
          <w:rFonts w:ascii="Arial" w:hAnsi="Arial" w:eastAsia="等线" w:cs="Arial"/>
          <w:b/>
          <w:sz w:val="22"/>
        </w:rPr>
        <w:t>企业</w:t>
      </w:r>
      <w:r>
        <w:rPr>
          <w:rFonts w:ascii="Arial" w:hAnsi="Arial" w:eastAsia="等线" w:cs="Arial"/>
          <w:sz w:val="22"/>
        </w:rPr>
        <w:t>；c、付方商户号是否=发起方商户号，用于保证发起指令商户与发起付款是同一商户（法务上有一致性要求）。校验通过后，根据钱包系统留存的接收方入网时绑定默认银行卡信息，生成绑定关系流水请求电子签约平台；</w:t>
      </w:r>
    </w:p>
    <w:p w14:paraId="61EE645E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E、场景枚举主要用于短信模板+H5协议；</w:t>
      </w:r>
    </w:p>
    <w:p w14:paraId="02ABBCF2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会员结算</w:t>
      </w:r>
      <w:r>
        <w:rPr>
          <w:rFonts w:ascii="Arial" w:hAnsi="Arial" w:eastAsia="等线" w:cs="Arial"/>
          <w:sz w:val="22"/>
        </w:rPr>
        <w:t>（总部分账给门店)：</w:t>
      </w:r>
    </w:p>
    <w:p w14:paraId="4647FE0C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A、总部&amp;拉卡拉签署线下或线上协议（以法务为准）；</w:t>
      </w:r>
    </w:p>
    <w:p w14:paraId="11902D90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B、门店（收款账户）：对公-法人接收短信，做打款验证+协议（总部&amp;门店，单独固定协议-电子签约平台根据场景调短信模板）；对私-人脸+协议（总部&amp;门店，单独固定协议）；</w:t>
      </w:r>
    </w:p>
    <w:p w14:paraId="7BC88581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C、</w:t>
      </w:r>
      <w:r>
        <w:rPr>
          <w:rFonts w:ascii="Arial" w:hAnsi="Arial" w:eastAsia="等线" w:cs="Arial"/>
          <w:sz w:val="22"/>
          <w:shd w:val="clear" w:fill="FFF67A"/>
        </w:rPr>
        <w:t>天财送参至少包含：发起方商户全称(总部)、发起方商户号，用于明确是总部在天财提交的指令</w:t>
      </w:r>
      <w:r>
        <w:rPr>
          <w:rFonts w:ascii="Arial" w:hAnsi="Arial" w:eastAsia="等线" w:cs="Arial"/>
          <w:sz w:val="22"/>
        </w:rPr>
        <w:t>；其他参数：付方商户号、付方账户（天财收款账户）、场景（枚举：归集、批量付款、</w:t>
      </w:r>
      <w:r>
        <w:rPr>
          <w:rFonts w:ascii="Arial" w:hAnsi="Arial" w:eastAsia="等线" w:cs="Arial"/>
          <w:sz w:val="22"/>
          <w:shd w:val="clear" w:fill="FFF67A"/>
        </w:rPr>
        <w:t>会员结算</w:t>
      </w:r>
      <w:r>
        <w:rPr>
          <w:rFonts w:ascii="Arial" w:hAnsi="Arial" w:eastAsia="等线" w:cs="Arial"/>
          <w:sz w:val="22"/>
        </w:rPr>
        <w:t>）、资金用途（默认会员结算）；</w:t>
      </w:r>
    </w:p>
    <w:p w14:paraId="2E77C6CE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D、钱包系统校验场景=“会员结算”时：a、</w:t>
      </w:r>
      <w:r>
        <w:rPr>
          <w:rFonts w:ascii="Arial" w:hAnsi="Arial" w:eastAsia="等线" w:cs="Arial"/>
          <w:sz w:val="22"/>
          <w:shd w:val="clear" w:fill="FBBFBC"/>
        </w:rPr>
        <w:t>收付方均为天财收款账户；</w:t>
      </w:r>
      <w:r>
        <w:rPr>
          <w:rFonts w:ascii="Arial" w:hAnsi="Arial" w:eastAsia="等线" w:cs="Arial"/>
          <w:sz w:val="22"/>
        </w:rPr>
        <w:t>b、付方商户性质=</w:t>
      </w:r>
      <w:r>
        <w:rPr>
          <w:rFonts w:ascii="Arial" w:hAnsi="Arial" w:eastAsia="等线" w:cs="Arial"/>
          <w:b/>
          <w:sz w:val="22"/>
        </w:rPr>
        <w:t>企业</w:t>
      </w:r>
      <w:r>
        <w:rPr>
          <w:rFonts w:ascii="Arial" w:hAnsi="Arial" w:eastAsia="等线" w:cs="Arial"/>
          <w:sz w:val="22"/>
        </w:rPr>
        <w:t>；c、付方商户号是否=发起方商户号，用于保证发起指令商户与发起付款是同一商户（法务上有一致性要求）。校验通过后，根据钱包系统留存的收方入网时绑定默认银行卡信息，生成绑定关系流水请求电子签约平台；</w:t>
      </w:r>
    </w:p>
    <w:p w14:paraId="757FEBB3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E、同批量付款场景；</w:t>
      </w:r>
    </w:p>
    <w:p w14:paraId="03869689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开通付款（增加项）</w:t>
      </w:r>
    </w:p>
    <w:p w14:paraId="0B8E13EE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  <w:shd w:val="clear" w:fill="FFF67A"/>
        </w:rPr>
        <w:t>A、</w:t>
      </w:r>
      <w:r>
        <w:rPr>
          <w:rFonts w:ascii="Arial" w:hAnsi="Arial" w:eastAsia="等线" w:cs="Arial"/>
          <w:b/>
          <w:sz w:val="22"/>
          <w:shd w:val="clear" w:fill="FFF67A"/>
        </w:rPr>
        <w:t>批量付款&amp;会员结算</w:t>
      </w:r>
      <w:r>
        <w:rPr>
          <w:rFonts w:ascii="Arial" w:hAnsi="Arial" w:eastAsia="等线" w:cs="Arial"/>
          <w:sz w:val="22"/>
          <w:shd w:val="clear" w:fill="FFF67A"/>
        </w:rPr>
        <w:t>场景下，付方总部/门店-</w:t>
      </w:r>
      <w:r>
        <w:rPr>
          <w:rFonts w:ascii="Arial" w:hAnsi="Arial" w:eastAsia="等线" w:cs="Arial"/>
          <w:b/>
          <w:sz w:val="22"/>
          <w:shd w:val="clear" w:fill="FFF67A"/>
        </w:rPr>
        <w:t>对公（企业）</w:t>
      </w:r>
      <w:r>
        <w:rPr>
          <w:rFonts w:ascii="Arial" w:hAnsi="Arial" w:eastAsia="等线" w:cs="Arial"/>
          <w:sz w:val="22"/>
          <w:shd w:val="clear" w:fill="FFF67A"/>
        </w:rPr>
        <w:t>：总部在天财页面点击“开通付款”，触发总部【签约与认证】；</w:t>
      </w:r>
    </w:p>
    <w:p w14:paraId="0DEE90FB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B、总部：对公-法人接收短信，做打款验证+协议（代付授权协议）；</w:t>
      </w:r>
    </w:p>
    <w:p w14:paraId="432C97DB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C、</w:t>
      </w:r>
      <w:r>
        <w:rPr>
          <w:rFonts w:ascii="Arial" w:hAnsi="Arial" w:eastAsia="等线" w:cs="Arial"/>
          <w:sz w:val="22"/>
          <w:shd w:val="clear" w:fill="FFF67A"/>
        </w:rPr>
        <w:t>天财送参至少包含：发起方商户全称(总部)、发起方商户号，用于明确是总部在天财提交的指令</w:t>
      </w:r>
      <w:r>
        <w:rPr>
          <w:rFonts w:ascii="Arial" w:hAnsi="Arial" w:eastAsia="等线" w:cs="Arial"/>
          <w:sz w:val="22"/>
        </w:rPr>
        <w:t>；其他参数：付方商户号、付方账户（天财收款账户）、资金用途（默认送会员结算、批量付款）；</w:t>
      </w:r>
    </w:p>
    <w:p w14:paraId="3AE6A3DC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、钱包系统校验场景=“批付&amp;会员结算”时：a、付方=天财收款账户；b、付方商户性质=企业；c、付方商户号是否=发起方商户号，用于保证发起指令商户与发起付款是同一商户（法务上有一致性要求）。校验通过后，根据钱包系统留存的收方入网时绑定默认银行卡信息，生成绑定关系流水请求电子签约平台；</w:t>
      </w:r>
    </w:p>
    <w:p w14:paraId="6ED81FBF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E、只开一次；</w:t>
      </w:r>
    </w:p>
    <w:p w14:paraId="38DE5B2C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G、付方（总部）在批量付款&amp;会员结算场景下签了协议，</w:t>
      </w:r>
      <w:r>
        <w:rPr>
          <w:rFonts w:ascii="Arial" w:hAnsi="Arial" w:eastAsia="等线" w:cs="Arial"/>
          <w:sz w:val="22"/>
          <w:shd w:val="clear" w:fill="FBBFBC"/>
        </w:rPr>
        <w:t>批量付款&amp;会员结算下的关系绑定才能生效，由行业钱包判断</w:t>
      </w:r>
      <w:r>
        <w:rPr>
          <w:rFonts w:ascii="Arial" w:hAnsi="Arial" w:eastAsia="等线" w:cs="Arial"/>
          <w:sz w:val="22"/>
        </w:rPr>
        <w:t>；</w:t>
      </w:r>
    </w:p>
    <w:p w14:paraId="2D7ACD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3）打款验证</w:t>
      </w:r>
    </w:p>
    <w:p w14:paraId="0B610DE9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要素：收款账户/接收方账户绑定的卡号、户名是否有效；</w:t>
      </w:r>
    </w:p>
    <w:p w14:paraId="21688A3E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验证逻辑：认证系统发起小额随机金额打款，验证回填金额、</w:t>
      </w:r>
      <w:r>
        <w:rPr>
          <w:rFonts w:ascii="Arial" w:hAnsi="Arial" w:eastAsia="等线" w:cs="Arial"/>
          <w:sz w:val="22"/>
          <w:shd w:val="clear" w:fill="FBBFBC"/>
        </w:rPr>
        <w:t>备注（6位数字或2个汉字）</w:t>
      </w:r>
      <w:r>
        <w:rPr>
          <w:rFonts w:ascii="Arial" w:hAnsi="Arial" w:eastAsia="等线" w:cs="Arial"/>
          <w:sz w:val="22"/>
        </w:rPr>
        <w:t>是否=随机打款金额、备注（6位数字或2个汉字）；</w:t>
      </w:r>
    </w:p>
    <w:p w14:paraId="2F5B2C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4）人脸验证</w:t>
      </w:r>
    </w:p>
    <w:p w14:paraId="36CDC894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要素：姓名、身份证、人脸；</w:t>
      </w:r>
    </w:p>
    <w:p w14:paraId="4A4EE13F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验证逻辑：个人、个体接收方的姓名、身份证、人脸是否一致</w:t>
      </w:r>
    </w:p>
    <w:p w14:paraId="789746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5）电子协议签章：</w:t>
      </w:r>
    </w:p>
    <w:p w14:paraId="2BC3E393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企业：上送营业执照号、法人身份证号/姓名、协议名称、业务类型（天财分账）、账户类型（天财收款账户/接收方账户）、验证类型（打款、人脸）、核验方属性（对私、对公）；电子签章系统生成签章流水；</w:t>
      </w:r>
    </w:p>
    <w:p w14:paraId="59893F27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个人：上送法人/负责人身份证号/姓名、协议名称、业务类型（天财分账）、账户类型（天财收款账户/接收方账户）、验证类型（打款、人脸），电子签章系统生成签章流水；</w:t>
      </w:r>
    </w:p>
    <w:p w14:paraId="270915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6）打款验证/人脸核验主要为确保签约的有效性；</w:t>
      </w:r>
    </w:p>
    <w:p w14:paraId="7D2E27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7）电子签约平台会留存协议、认证过程（验证金额、时间、类型等）、认证结果等全证据链数据；</w:t>
      </w:r>
    </w:p>
    <w:p w14:paraId="74345A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8）</w:t>
      </w:r>
      <w:r>
        <w:rPr>
          <w:rFonts w:ascii="Arial" w:hAnsi="Arial" w:eastAsia="等线" w:cs="Arial"/>
          <w:b/>
          <w:sz w:val="22"/>
        </w:rPr>
        <w:t>校验关键点</w:t>
      </w:r>
      <w:r>
        <w:rPr>
          <w:rFonts w:ascii="Arial" w:hAnsi="Arial" w:eastAsia="等线" w:cs="Arial"/>
          <w:sz w:val="22"/>
        </w:rPr>
        <w:t>：不允许总店代门店发起批量付款关系绑定；发起归集授权（收方）、批量付款&amp;会员结算(付方）开通付款均为企业；其他（总部&amp;LKL均需签线下协议）；</w:t>
      </w:r>
    </w:p>
    <w:p w14:paraId="123C43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2.流程说明：</w:t>
      </w:r>
    </w:p>
    <w:p w14:paraId="4DEA0D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1）天财上送关系绑定请求的参数，请求参数见上方；</w:t>
      </w:r>
    </w:p>
    <w:p w14:paraId="3BF7D1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2）行业钱包系统做基本参数校验，及一致性校验（比如批付&amp;会员结算场景下发起方与付方一致性校验，归集场景发起方&amp;归集方一致性校验）；</w:t>
      </w:r>
    </w:p>
    <w:p w14:paraId="17B232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3）校验通过，行业钱包调电子签约平台发起短信认证。电子签约平台根据不同场景、对公对私调起不同短信+H5模板；</w:t>
      </w:r>
    </w:p>
    <w:p w14:paraId="164630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4）</w:t>
      </w:r>
      <w:r>
        <w:rPr>
          <w:rFonts w:ascii="Arial" w:hAnsi="Arial" w:eastAsia="等线" w:cs="Arial"/>
          <w:b/>
          <w:sz w:val="22"/>
        </w:rPr>
        <w:t>归集授权场景</w:t>
      </w:r>
      <w:r>
        <w:rPr>
          <w:rFonts w:ascii="Arial" w:hAnsi="Arial" w:eastAsia="等线" w:cs="Arial"/>
          <w:sz w:val="22"/>
        </w:rPr>
        <w:t>：电子签约平台调打款认证+LKL&amp;门店协议签署；</w:t>
      </w:r>
      <w:r>
        <w:rPr>
          <w:rFonts w:ascii="Arial" w:hAnsi="Arial" w:eastAsia="等线" w:cs="Arial"/>
          <w:b/>
          <w:sz w:val="22"/>
        </w:rPr>
        <w:t>批量付款&amp;会员结算场景：对公-</w:t>
      </w:r>
      <w:r>
        <w:rPr>
          <w:rFonts w:ascii="Arial" w:hAnsi="Arial" w:eastAsia="等线" w:cs="Arial"/>
          <w:sz w:val="22"/>
        </w:rPr>
        <w:t>调打款认证+门店&amp;总部协议签署，对私-调人脸+门店&amp;总部协议签署；</w:t>
      </w:r>
    </w:p>
    <w:p w14:paraId="58FC8B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5）认证完成，电子签约平台返回行业钱包系统结果，行业钱包返回天财绑定/归集授权结果；</w:t>
      </w:r>
    </w:p>
    <w:p w14:paraId="4E382413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“开通付款”流程：</w:t>
      </w:r>
    </w:p>
    <w:p w14:paraId="798EDCA5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5124450"/>
            <wp:effectExtent l="0" t="0" r="0" b="11430"/>
            <wp:docPr id="6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9CB35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归集授权、关系绑定流程：</w:t>
      </w:r>
    </w:p>
    <w:p w14:paraId="72A0F53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5124450"/>
            <wp:effectExtent l="0" t="0" r="0" b="11430"/>
            <wp:docPr id="7" name="Draw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B2B0">
      <w:pPr>
        <w:spacing w:before="120" w:after="120" w:line="288" w:lineRule="auto"/>
        <w:ind w:left="0"/>
        <w:jc w:val="left"/>
      </w:pPr>
    </w:p>
    <w:p w14:paraId="1F4C66D1">
      <w:pPr>
        <w:spacing w:before="120" w:after="120" w:line="288" w:lineRule="auto"/>
        <w:ind w:left="0"/>
        <w:jc w:val="left"/>
      </w:pPr>
    </w:p>
    <w:p w14:paraId="06089392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（四）短信模板&amp;H5</w:t>
      </w:r>
      <w:bookmarkEnd w:id="5"/>
    </w:p>
    <w:p w14:paraId="248269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1.规则说明：</w:t>
      </w:r>
    </w:p>
    <w:p w14:paraId="075E12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1）电子签章系统配置短信模板；</w:t>
      </w:r>
    </w:p>
    <w:p w14:paraId="323673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2）当【行业钱包】调短信推送接口时，由【电子签章系统】封装H5后，电子签章系统触发短信推送；</w:t>
      </w:r>
    </w:p>
    <w:p w14:paraId="263039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3）电子签约平台会留存协议、认证过程（验证金额、时间、类型）、认证结果等证据链信息；</w:t>
      </w:r>
    </w:p>
    <w:p w14:paraId="220778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2.原型页面</w:t>
      </w:r>
    </w:p>
    <w:p w14:paraId="61F07F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归集场景</w:t>
      </w:r>
      <w:r>
        <w:rPr>
          <w:rFonts w:ascii="Arial" w:hAnsi="Arial" w:eastAsia="等线" w:cs="Arial"/>
          <w:sz w:val="22"/>
        </w:rPr>
        <w:t>下</w:t>
      </w:r>
    </w:p>
    <w:p w14:paraId="17036C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1）</w:t>
      </w:r>
      <w:r>
        <w:rPr>
          <w:rFonts w:ascii="Arial" w:hAnsi="Arial" w:eastAsia="等线" w:cs="Arial"/>
          <w:b/>
          <w:sz w:val="22"/>
        </w:rPr>
        <w:t>签章</w:t>
      </w:r>
      <w:r>
        <w:rPr>
          <w:rFonts w:ascii="Arial" w:hAnsi="Arial" w:eastAsia="等线" w:cs="Arial"/>
          <w:sz w:val="22"/>
        </w:rPr>
        <w:t>：门店勾选同意；</w:t>
      </w:r>
    </w:p>
    <w:p w14:paraId="53BFD3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2）行业钱包调电子签约平台，参数包含门店在拉卡拉的银行账户信息；</w:t>
      </w:r>
    </w:p>
    <w:p w14:paraId="4A91D8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4）门店授权人接收短信；</w:t>
      </w:r>
    </w:p>
    <w:p w14:paraId="37820C35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28925"/>
            <wp:effectExtent l="0" t="0" r="0" b="5715"/>
            <wp:docPr id="8" name="Draw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919A">
      <w:pPr>
        <w:spacing w:before="120" w:after="120" w:line="288" w:lineRule="auto"/>
        <w:ind w:left="0"/>
        <w:jc w:val="left"/>
      </w:pPr>
    </w:p>
    <w:p w14:paraId="4271CC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FFF67A"/>
        </w:rPr>
        <w:t>批量付款&amp;会员结算</w:t>
      </w:r>
      <w:r>
        <w:rPr>
          <w:rFonts w:ascii="Arial" w:hAnsi="Arial" w:eastAsia="等线" w:cs="Arial"/>
          <w:sz w:val="22"/>
          <w:shd w:val="clear" w:fill="FFF67A"/>
        </w:rPr>
        <w:t>场景下，</w:t>
      </w:r>
      <w:r>
        <w:rPr>
          <w:rFonts w:ascii="Arial" w:hAnsi="Arial" w:eastAsia="等线" w:cs="Arial"/>
          <w:b/>
          <w:sz w:val="22"/>
          <w:shd w:val="clear" w:fill="FFF67A"/>
        </w:rPr>
        <w:t>付方</w:t>
      </w:r>
      <w:r>
        <w:rPr>
          <w:rFonts w:ascii="Arial" w:hAnsi="Arial" w:eastAsia="等线" w:cs="Arial"/>
          <w:sz w:val="22"/>
          <w:shd w:val="clear" w:fill="FFF67A"/>
        </w:rPr>
        <w:t>总部/门店-</w:t>
      </w:r>
      <w:r>
        <w:rPr>
          <w:rFonts w:ascii="Arial" w:hAnsi="Arial" w:eastAsia="等线" w:cs="Arial"/>
          <w:b/>
          <w:sz w:val="22"/>
          <w:shd w:val="clear" w:fill="FFF67A"/>
        </w:rPr>
        <w:t>对公（企业）</w:t>
      </w:r>
      <w:r>
        <w:rPr>
          <w:rFonts w:ascii="Arial" w:hAnsi="Arial" w:eastAsia="等线" w:cs="Arial"/>
          <w:sz w:val="22"/>
          <w:shd w:val="clear" w:fill="FFF67A"/>
        </w:rPr>
        <w:t>：总部在天财页面点击“开通付款”，触发总部【签约与认证】；</w:t>
      </w:r>
    </w:p>
    <w:p w14:paraId="1D334F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1）协议：LKL&amp;总部线上签署的《XX代付授权协议》；</w:t>
      </w:r>
    </w:p>
    <w:p w14:paraId="53F24C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2）签章：付方盖章，总部/门店确认一次；</w:t>
      </w:r>
    </w:p>
    <w:p w14:paraId="0BD56F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3）银行账户信息：均为付方在拉卡拉入网开户时绑定的默认卡；</w:t>
      </w:r>
    </w:p>
    <w:p w14:paraId="460A0ED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09875"/>
            <wp:effectExtent l="0" t="0" r="0" b="9525"/>
            <wp:docPr id="9" name="Draw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5C6D">
      <w:pPr>
        <w:spacing w:before="120" w:after="120" w:line="288" w:lineRule="auto"/>
        <w:ind w:left="0"/>
        <w:jc w:val="left"/>
      </w:pPr>
    </w:p>
    <w:p w14:paraId="6A584F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批量付款&amp;会员结算</w:t>
      </w:r>
      <w:r>
        <w:rPr>
          <w:rFonts w:ascii="Arial" w:hAnsi="Arial" w:eastAsia="等线" w:cs="Arial"/>
          <w:sz w:val="22"/>
        </w:rPr>
        <w:t>场景下，</w:t>
      </w:r>
      <w:r>
        <w:rPr>
          <w:rFonts w:ascii="Arial" w:hAnsi="Arial" w:eastAsia="等线" w:cs="Arial"/>
          <w:b/>
          <w:sz w:val="22"/>
        </w:rPr>
        <w:t>收方</w:t>
      </w:r>
      <w:r>
        <w:rPr>
          <w:rFonts w:ascii="Arial" w:hAnsi="Arial" w:eastAsia="等线" w:cs="Arial"/>
          <w:sz w:val="22"/>
        </w:rPr>
        <w:t>-门店&amp;接收方-</w:t>
      </w:r>
      <w:r>
        <w:rPr>
          <w:rFonts w:ascii="Arial" w:hAnsi="Arial" w:eastAsia="等线" w:cs="Arial"/>
          <w:b/>
          <w:sz w:val="22"/>
        </w:rPr>
        <w:t>对公（企业）</w:t>
      </w:r>
      <w:r>
        <w:rPr>
          <w:rFonts w:ascii="Arial" w:hAnsi="Arial" w:eastAsia="等线" w:cs="Arial"/>
          <w:sz w:val="22"/>
        </w:rPr>
        <w:t>：总部天财页面触发入账方开户时，钱包系统支持调用接收方开户+关系绑定（会员场景仅绑定，无需开户）接口；</w:t>
      </w:r>
    </w:p>
    <w:p w14:paraId="706A60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1）协议：会员结算场景单独的协议（储值场景）；</w:t>
      </w:r>
    </w:p>
    <w:p w14:paraId="5CA3CC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2）签章：收方盖章，总部在开通业务时与LKL签协议；</w:t>
      </w:r>
    </w:p>
    <w:p w14:paraId="2445B5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3）银行账户信息：均为收方在拉卡拉入网开户时绑定的默认卡；</w:t>
      </w:r>
    </w:p>
    <w:p w14:paraId="259CB167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790825"/>
            <wp:effectExtent l="0" t="0" r="0" b="13335"/>
            <wp:docPr id="10" name="Draw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F1EB">
      <w:pPr>
        <w:spacing w:before="120" w:after="120" w:line="288" w:lineRule="auto"/>
        <w:ind w:left="0"/>
        <w:jc w:val="left"/>
      </w:pPr>
    </w:p>
    <w:p w14:paraId="199D47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批量付款&amp;会员结算-收方对私</w:t>
      </w:r>
      <w:r>
        <w:rPr>
          <w:rFonts w:ascii="Arial" w:hAnsi="Arial" w:eastAsia="等线" w:cs="Arial"/>
          <w:sz w:val="22"/>
        </w:rPr>
        <w:t>场景下：</w:t>
      </w:r>
    </w:p>
    <w:p w14:paraId="25CB6F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1）动态视频在电子签章系统存储；</w:t>
      </w:r>
    </w:p>
    <w:p w14:paraId="76E2846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400300"/>
            <wp:effectExtent l="0" t="0" r="0" b="7620"/>
            <wp:docPr id="11" name="Draw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DC74">
      <w:pPr>
        <w:spacing w:before="120" w:after="120" w:line="288" w:lineRule="auto"/>
        <w:ind w:left="0"/>
        <w:jc w:val="left"/>
      </w:pPr>
    </w:p>
    <w:p w14:paraId="05890139">
      <w:pPr>
        <w:spacing w:before="120" w:after="120" w:line="288" w:lineRule="auto"/>
        <w:ind w:left="0"/>
        <w:jc w:val="left"/>
      </w:pPr>
    </w:p>
    <w:p w14:paraId="7B82EE5E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（五）计费</w:t>
      </w:r>
      <w:bookmarkEnd w:id="6"/>
    </w:p>
    <w:p w14:paraId="335545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1.规则说明</w:t>
      </w:r>
    </w:p>
    <w:p w14:paraId="5E1192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1）手续费配置：关系绑定/授权归集成功后，在三代配置转账手续费，三代同步清结算计费系统；</w:t>
      </w:r>
    </w:p>
    <w:p w14:paraId="04B74A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2）除手续费承担方由天财接口里传，转账费率等信息均在三代配置，配置在付方；</w:t>
      </w:r>
    </w:p>
    <w:p w14:paraId="0DAC8D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3）在三代可配置的字段及其枚举包含：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5"/>
        <w:gridCol w:w="1020"/>
        <w:gridCol w:w="810"/>
        <w:gridCol w:w="1440"/>
        <w:gridCol w:w="1095"/>
        <w:gridCol w:w="1230"/>
        <w:gridCol w:w="1335"/>
        <w:gridCol w:w="810"/>
      </w:tblGrid>
      <w:tr w14:paraId="2B1D48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8D2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维度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201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业务类型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D1C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收方类型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10A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转账手续费承担方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A2C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到账模式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648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计费范围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8EC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计费模式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832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生效时间</w:t>
            </w:r>
          </w:p>
        </w:tc>
      </w:tr>
      <w:tr w14:paraId="58408E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AE3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商户、账户号</w:t>
            </w:r>
          </w:p>
          <w:p w14:paraId="3FF880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  <w:p w14:paraId="291F0E7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EB4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天财转账/分账</w:t>
            </w:r>
          </w:p>
          <w:p w14:paraId="6FA1D1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4BE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天财收款账户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275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付方/收方统一承担</w:t>
            </w:r>
          </w:p>
          <w:p w14:paraId="4624F8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（由接口里传）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699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净额转账、全额转账</w:t>
            </w:r>
          </w:p>
          <w:p w14:paraId="4D979F1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607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都支持（按流水金额计费）</w:t>
            </w:r>
          </w:p>
          <w:p w14:paraId="758E63F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ACD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都支持（按比例、固定金额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38D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支持实时</w:t>
            </w:r>
          </w:p>
          <w:p w14:paraId="27A0C5EF">
            <w:pPr>
              <w:spacing w:before="120" w:after="120" w:line="288" w:lineRule="auto"/>
              <w:ind w:left="0"/>
              <w:jc w:val="left"/>
            </w:pPr>
          </w:p>
        </w:tc>
      </w:tr>
      <w:tr w14:paraId="0D04D5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84D3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BC2E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981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天财接收方账户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5ED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付方/收方统一承担</w:t>
            </w:r>
          </w:p>
          <w:p w14:paraId="615501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（由接口里传）</w:t>
            </w:r>
          </w:p>
          <w:p w14:paraId="3F2C66D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DDF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净额转账、全额转账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B6A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都支持（按流水金额计费）</w:t>
            </w:r>
          </w:p>
          <w:p w14:paraId="6E77DE0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071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都支持（按比例、固定金额）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466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支持实时</w:t>
            </w:r>
          </w:p>
        </w:tc>
      </w:tr>
    </w:tbl>
    <w:p w14:paraId="3B7513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3）三代/钱包-清结算-计费中台服务费相关信息变更时需确保三者信息一致，不能出现前系统不关注后系统是否同步成功，导致费率信息等不一致的业务投诉；</w:t>
      </w:r>
    </w:p>
    <w:p w14:paraId="4BE104E4">
      <w:pPr>
        <w:spacing w:before="120" w:after="120" w:line="288" w:lineRule="auto"/>
        <w:ind w:left="0"/>
        <w:jc w:val="left"/>
      </w:pPr>
    </w:p>
    <w:p w14:paraId="672014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2.业务流程</w:t>
      </w:r>
    </w:p>
    <w:p w14:paraId="257C55F7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276475"/>
            <wp:effectExtent l="0" t="0" r="0" b="9525"/>
            <wp:docPr id="12" name="Draw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EE98">
      <w:pPr>
        <w:spacing w:before="120" w:after="120" w:line="288" w:lineRule="auto"/>
        <w:ind w:left="0"/>
        <w:jc w:val="left"/>
      </w:pPr>
    </w:p>
    <w:p w14:paraId="7EF113C4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810000"/>
            <wp:effectExtent l="0" t="0" r="0" b="0"/>
            <wp:docPr id="13" name="Draw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F329">
      <w:pPr>
        <w:spacing w:before="120" w:after="120" w:line="288" w:lineRule="auto"/>
        <w:ind w:left="0"/>
        <w:jc w:val="left"/>
      </w:pPr>
    </w:p>
    <w:p w14:paraId="5A62FDBC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（六）转账（分账）</w:t>
      </w:r>
      <w:bookmarkEnd w:id="7"/>
    </w:p>
    <w:p w14:paraId="68B105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1.规则说明：</w:t>
      </w:r>
    </w:p>
    <w:p w14:paraId="199F9A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1）天财收款账户分账给天财收款账户；</w:t>
      </w:r>
    </w:p>
    <w:p w14:paraId="439A46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2）天财收款账户分账给天财接收方账户；</w:t>
      </w:r>
    </w:p>
    <w:p w14:paraId="41B248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3）天财专用账户在三代默认设置D+1结算到天财收款账户；</w:t>
      </w:r>
    </w:p>
    <w:p w14:paraId="04A9EE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4）该接口仅支持天财专用账户，不支持天财专用账户转其他账户；</w:t>
      </w:r>
    </w:p>
    <w:p w14:paraId="024E2A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5）钱包定义新的交易类型：”天财分账“;</w:t>
      </w:r>
    </w:p>
    <w:p w14:paraId="615E39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6）三代不设置转账比例；</w:t>
      </w:r>
    </w:p>
    <w:p w14:paraId="2D4226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2.流程说明：</w:t>
      </w:r>
    </w:p>
    <w:p w14:paraId="6AB6D9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1）天财的分账请求要求至少上送：接入方（天财）、请求发起方（总部）、场景（枚举：归集、会员结算、批量付款）、转出方商户号、转入方商户号、分账金额、</w:t>
      </w:r>
      <w:r>
        <w:rPr>
          <w:rFonts w:ascii="Arial" w:hAnsi="Arial" w:eastAsia="等线" w:cs="Arial"/>
          <w:sz w:val="22"/>
          <w:shd w:val="clear" w:fill="FFF67A"/>
        </w:rPr>
        <w:t>分账手续费承担方；</w:t>
      </w:r>
    </w:p>
    <w:p w14:paraId="4F8C05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2）钱包系统判断绑定成功（协议+认证）成功后，才能调计费处理；</w:t>
      </w:r>
    </w:p>
    <w:p w14:paraId="21084B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3）钱包系统判断计费成功后，调账户执行转账；</w:t>
      </w:r>
    </w:p>
    <w:p w14:paraId="5D3F667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286250"/>
            <wp:effectExtent l="0" t="0" r="0" b="11430"/>
            <wp:docPr id="14" name="Draw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4532">
      <w:pPr>
        <w:spacing w:before="120" w:after="120" w:line="288" w:lineRule="auto"/>
        <w:ind w:left="0"/>
        <w:jc w:val="left"/>
      </w:pPr>
    </w:p>
    <w:p w14:paraId="54C5A15C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（七）提现（不变）</w:t>
      </w:r>
      <w:bookmarkEnd w:id="8"/>
    </w:p>
    <w:p w14:paraId="3A201E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1）天财收款账户、天财接收方账户均走钱包实时提款流程；</w:t>
      </w:r>
    </w:p>
    <w:p w14:paraId="75F068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2）天财收款账户、天财接收方账户均由天财系统发起指令提款，暂不封装账户交易结算；</w:t>
      </w:r>
    </w:p>
    <w:p w14:paraId="5A7D02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3）新机构号需要钱包APP/商服平台关闭提现入口、结算模式切换入口；（关闭登录入口也可）</w:t>
      </w:r>
    </w:p>
    <w:p w14:paraId="2EA79D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4）</w:t>
      </w:r>
      <w:r>
        <w:rPr>
          <w:rFonts w:ascii="Arial" w:hAnsi="Arial" w:eastAsia="等线" w:cs="Arial"/>
          <w:sz w:val="22"/>
          <w:shd w:val="clear" w:fill="FBBFBC"/>
        </w:rPr>
        <w:t>D1批结至天财收款账户，收款账户显示一笔结算，但对账单显示逐笔结算明细+余额；（清结算每结算一笔，推送一个结算单，账户系统根据结算单明细更新账单流水，按时间排序，账户流水里展示明细的收支余</w:t>
      </w:r>
      <w:r>
        <w:rPr>
          <w:rFonts w:ascii="Arial" w:hAnsi="Arial" w:eastAsia="等线" w:cs="Arial"/>
          <w:sz w:val="22"/>
        </w:rPr>
        <w:t>）；</w:t>
      </w:r>
    </w:p>
    <w:p w14:paraId="3D17A7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5）清结算针对批结到内部账户，送“补明细账单”的标识，账户系统根据标识生成子账单（在现有收款账户流水基础上带结算明细收支余）；</w:t>
      </w:r>
    </w:p>
    <w:p w14:paraId="76B6D377">
      <w:pPr>
        <w:spacing w:before="120" w:after="120" w:line="288" w:lineRule="auto"/>
        <w:ind w:left="0"/>
        <w:jc w:val="left"/>
      </w:pPr>
    </w:p>
    <w:p w14:paraId="28CD93E4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705225"/>
            <wp:effectExtent l="0" t="0" r="0" b="13335"/>
            <wp:docPr id="15" name="Drawing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A75F">
      <w:pPr>
        <w:spacing w:before="120" w:after="120" w:line="288" w:lineRule="auto"/>
        <w:ind w:left="0"/>
        <w:jc w:val="left"/>
      </w:pPr>
    </w:p>
    <w:p w14:paraId="29D7025C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（八）对账单-机构</w:t>
      </w:r>
      <w:bookmarkEnd w:id="9"/>
    </w:p>
    <w:p w14:paraId="2C4733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1.规则说明（含收单）</w:t>
      </w:r>
    </w:p>
    <w:p w14:paraId="15CA57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1）只需要提供天财机构层分账、提款、收单、结算的账单，商户层的不需要。天财根据对账单系统提供的机构账单、待结算&amp;收款账户（含普通收款账户）&amp;04退货账户&amp;接收方账户动账明细进行封装；</w:t>
      </w:r>
    </w:p>
    <w:p w14:paraId="3C3B6B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2）需提供04退货账户、接收方账户动账明细；</w:t>
      </w:r>
    </w:p>
    <w:p w14:paraId="2936F7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3）对账单系统D日9点前提供所有待结算&amp;04退货账户&amp;接收方账户D-1日0-24点的动账明细，底层数据由账户系统提供；提供收款账户（含普通/天财收款账户）D-1日0-24点和D日0-3点的动账明细，</w:t>
      </w:r>
      <w:r>
        <w:rPr>
          <w:rFonts w:ascii="Arial" w:hAnsi="Arial" w:eastAsia="等线" w:cs="Arial"/>
          <w:sz w:val="22"/>
          <w:shd w:val="clear" w:fill="FBBFBC"/>
        </w:rPr>
        <w:t>当日其他时间按批次推送3点-12点，12-18点的动账明细；</w:t>
      </w:r>
    </w:p>
    <w:p w14:paraId="4E9B7B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4）待结算、退货账户、收款账户明细需匹配交易字段，组合展示；接收方账户只展示动账明细；</w:t>
      </w:r>
    </w:p>
    <w:p w14:paraId="5BD004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5）</w:t>
      </w:r>
      <w:r>
        <w:rPr>
          <w:rFonts w:ascii="Arial" w:hAnsi="Arial" w:eastAsia="等线" w:cs="Arial"/>
          <w:b/>
          <w:sz w:val="22"/>
        </w:rPr>
        <w:t>匹配逻辑</w:t>
      </w:r>
      <w:r>
        <w:rPr>
          <w:rFonts w:ascii="Arial" w:hAnsi="Arial" w:eastAsia="等线" w:cs="Arial"/>
          <w:sz w:val="22"/>
        </w:rPr>
        <w:t>：清结算提供商户&amp;待结算、退货账户的关系，行业钱包提供商户&amp;收款账户、接收方账户（含普通与天财专用账户）；三代提供机构&amp;商户的关系；业务核心提供交易数据，对账单系统取账户系统底层数据后进行匹配；</w:t>
      </w:r>
    </w:p>
    <w:p w14:paraId="4B354C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6）</w:t>
      </w:r>
      <w:r>
        <w:rPr>
          <w:rFonts w:ascii="Arial" w:hAnsi="Arial" w:eastAsia="等线" w:cs="Arial"/>
          <w:sz w:val="22"/>
          <w:shd w:val="clear" w:fill="FFF67A"/>
        </w:rPr>
        <w:t>以下字段表样例，需包含但不限于表中字段；</w:t>
      </w:r>
    </w:p>
    <w:p w14:paraId="6D98D0F7">
      <w:pPr>
        <w:spacing w:before="120" w:after="120" w:line="288" w:lineRule="auto"/>
        <w:ind w:left="0"/>
        <w:jc w:val="left"/>
      </w:pPr>
    </w:p>
    <w:p w14:paraId="664E60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2.账户维度对账单（账户余额）</w:t>
      </w:r>
    </w:p>
    <w:p w14:paraId="2D3D9F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1）01待结算账户维度对账单（D日出D-1日0-24点）</w:t>
      </w:r>
    </w:p>
    <w:p w14:paraId="3EC19D55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正向交易，收款方显示01待结算账户信息；反向交易，付款方显示01待结算账户信息;</w:t>
      </w:r>
    </w:p>
    <w:p w14:paraId="72901336">
      <w:pPr>
        <w:spacing w:before="120" w:after="120" w:line="288" w:lineRule="auto"/>
        <w:ind w:left="0"/>
      </w:pPr>
      <w:r>
        <w:object>
          <v:shape id="_x0000_i1025" o:spt="75" type="#_x0000_t75" style="height:115pt;width:414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21">
            <o:LockedField>false</o:LockedField>
          </o:OLEObject>
        </w:object>
      </w:r>
    </w:p>
    <w:p w14:paraId="291D3724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64576C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2）04退货账户维度对账单（D日出D-1日0-24点）</w:t>
      </w:r>
    </w:p>
    <w:p w14:paraId="210E4A1B">
      <w:pPr>
        <w:spacing w:before="120" w:after="120" w:line="288" w:lineRule="auto"/>
        <w:ind w:left="0"/>
      </w:pPr>
      <w:r>
        <w:object>
          <v:shape id="_x0000_i1026" o:spt="75" type="#_x0000_t75" style="height:115pt;width:414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23">
            <o:LockedField>false</o:LockedField>
          </o:OLEObject>
        </w:object>
      </w:r>
    </w:p>
    <w:p w14:paraId="5096CB8E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1A737E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3）天财收款账户（D日第一批次出D-1日0-24点和D日0-3点，其他批次出补结算交易）</w:t>
      </w:r>
    </w:p>
    <w:p w14:paraId="7B1BE87C">
      <w:pPr>
        <w:spacing w:before="120" w:after="120" w:line="288" w:lineRule="auto"/>
        <w:ind w:left="0"/>
      </w:pPr>
      <w:r>
        <w:object>
          <v:shape id="_x0000_i1027" o:spt="75" type="#_x0000_t75" style="height:115pt;width:414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xcel.Sheet.12" ShapeID="_x0000_i1027" DrawAspect="Icon" ObjectID="_1468075727" r:id="rId25">
            <o:LockedField>false</o:LockedField>
          </o:OLEObject>
        </w:object>
      </w:r>
    </w:p>
    <w:p w14:paraId="6C68E214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5CD9ED67">
      <w:pPr>
        <w:spacing w:before="120" w:after="120" w:line="288" w:lineRule="auto"/>
        <w:ind w:left="0"/>
        <w:jc w:val="left"/>
      </w:pPr>
    </w:p>
    <w:p w14:paraId="3CFF9116">
      <w:pPr>
        <w:spacing w:before="120" w:after="120" w:line="288" w:lineRule="auto"/>
        <w:ind w:left="0"/>
        <w:jc w:val="left"/>
      </w:pPr>
    </w:p>
    <w:p w14:paraId="4D2ECA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4）天财接收方账户维度对账单（D日出D-1日0-24点）</w:t>
      </w:r>
    </w:p>
    <w:p w14:paraId="7822567C">
      <w:pPr>
        <w:spacing w:before="120" w:after="120" w:line="288" w:lineRule="auto"/>
        <w:ind w:left="0"/>
      </w:pPr>
      <w:r>
        <w:object>
          <v:shape id="_x0000_i1028" o:spt="75" type="#_x0000_t75" style="height:115pt;width:414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xcel.Sheet.12" ShapeID="_x0000_i1028" DrawAspect="Icon" ObjectID="_1468075728" r:id="rId26">
            <o:LockedField>false</o:LockedField>
          </o:OLEObject>
        </w:object>
      </w:r>
    </w:p>
    <w:p w14:paraId="76E3F3DE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5F29B460">
      <w:pPr>
        <w:spacing w:before="120" w:after="120" w:line="288" w:lineRule="auto"/>
        <w:ind w:left="0"/>
        <w:jc w:val="left"/>
      </w:pPr>
    </w:p>
    <w:p w14:paraId="0960E6E0">
      <w:pPr>
        <w:spacing w:before="120" w:after="120" w:line="288" w:lineRule="auto"/>
        <w:ind w:left="0"/>
        <w:jc w:val="left"/>
      </w:pPr>
    </w:p>
    <w:p w14:paraId="04CBE7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3.交易维度对账单</w:t>
      </w:r>
    </w:p>
    <w:p w14:paraId="0C73CE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1.机构天财分账指令账单（新做）</w:t>
      </w:r>
    </w:p>
    <w:p w14:paraId="7F7749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BBFBC"/>
        </w:rPr>
        <w:t>1) 行业钱包系统需同步数据给业务核心，对账单系统按【分账交易对账单】格式生成天财分账的对账单；</w:t>
      </w:r>
    </w:p>
    <w:p w14:paraId="289FF5B7">
      <w:pPr>
        <w:spacing w:before="120" w:after="120" w:line="288" w:lineRule="auto"/>
        <w:ind w:left="0"/>
      </w:pPr>
      <w:r>
        <w:object>
          <v:shape id="_x0000_i1029" o:spt="75" type="#_x0000_t75" style="height:96pt;width:414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xcel.Sheet.12" ShapeID="_x0000_i1029" DrawAspect="Icon" ObjectID="_1468075729" r:id="rId28">
            <o:LockedField>false</o:LockedField>
          </o:OLEObject>
        </w:object>
      </w:r>
    </w:p>
    <w:p w14:paraId="356A420F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309446AE">
      <w:pPr>
        <w:spacing w:before="120" w:after="120" w:line="288" w:lineRule="auto"/>
        <w:ind w:left="0"/>
        <w:jc w:val="left"/>
      </w:pPr>
    </w:p>
    <w:p w14:paraId="142BA3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2.机构提款指令账单（包含收款账户提款、接收方提款）</w:t>
      </w:r>
    </w:p>
    <w:p w14:paraId="62752D8B">
      <w:pPr>
        <w:spacing w:before="120" w:after="120" w:line="288" w:lineRule="auto"/>
        <w:ind w:left="0"/>
      </w:pPr>
      <w:r>
        <w:object>
          <v:shape id="_x0000_i1030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xcel.Sheet.12" ShapeID="_x0000_i1030" DrawAspect="Icon" ObjectID="_1468075730" r:id="rId30">
            <o:LockedField>false</o:LockedField>
          </o:OLEObject>
        </w:object>
      </w:r>
    </w:p>
    <w:p w14:paraId="47F7187C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7C4134F1">
      <w:pPr>
        <w:spacing w:before="120" w:after="120" w:line="288" w:lineRule="auto"/>
        <w:ind w:left="0"/>
        <w:jc w:val="left"/>
      </w:pPr>
    </w:p>
    <w:p w14:paraId="55DBB7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</w:t>
      </w:r>
      <w:r>
        <w:rPr>
          <w:rFonts w:ascii="Arial" w:hAnsi="Arial" w:eastAsia="等线" w:cs="Arial"/>
          <w:sz w:val="22"/>
          <w:shd w:val="clear" w:fill="FFF67A"/>
        </w:rPr>
        <w:t>机构交易、结算账单（现有）</w:t>
      </w:r>
    </w:p>
    <w:p w14:paraId="6008D96B">
      <w:pPr>
        <w:spacing w:before="120" w:after="120" w:line="288" w:lineRule="auto"/>
        <w:ind w:left="0"/>
      </w:pPr>
      <w:r>
        <w:object>
          <v:shape id="_x0000_i1031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xcel.Sheet.12" ShapeID="_x0000_i1031" DrawAspect="Icon" ObjectID="_1468075731" r:id="rId32">
            <o:LockedField>false</o:LockedField>
          </o:OLEObject>
        </w:object>
      </w:r>
    </w:p>
    <w:p w14:paraId="6A42EF95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67F801C6">
      <w:pPr>
        <w:spacing w:before="120" w:after="120" w:line="288" w:lineRule="auto"/>
        <w:ind w:left="0"/>
        <w:jc w:val="left"/>
      </w:pPr>
    </w:p>
    <w:p w14:paraId="4993129D">
      <w:pPr>
        <w:spacing w:before="120" w:after="120" w:line="288" w:lineRule="auto"/>
        <w:ind w:left="0"/>
        <w:jc w:val="left"/>
      </w:pPr>
    </w:p>
    <w:p w14:paraId="537FD9FB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（九）查询接口</w:t>
      </w:r>
      <w:bookmarkEnd w:id="10"/>
    </w:p>
    <w:p w14:paraId="262082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1.提供待结算动账明细、收款账户动账明细，</w:t>
      </w:r>
      <w:r>
        <w:rPr>
          <w:rFonts w:ascii="Arial" w:hAnsi="Arial" w:eastAsia="等线" w:cs="Arial"/>
          <w:color w:val="D83931"/>
          <w:sz w:val="22"/>
          <w:shd w:val="clear" w:fill="FFF67A"/>
        </w:rPr>
        <w:t>研发考虑频率是否可接受；</w:t>
      </w:r>
    </w:p>
    <w:p w14:paraId="0A9800C2">
      <w:pPr>
        <w:spacing w:before="120" w:after="120" w:line="288" w:lineRule="auto"/>
        <w:ind w:left="0"/>
        <w:jc w:val="left"/>
      </w:pPr>
    </w:p>
    <w:p w14:paraId="418314C0">
      <w:pPr>
        <w:spacing w:before="120" w:after="120" w:line="288" w:lineRule="auto"/>
        <w:ind w:left="0"/>
        <w:jc w:val="left"/>
      </w:pPr>
    </w:p>
    <w:p w14:paraId="668C9259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（十）退货（同步修订为扣待结算+收款账户+退货账户）</w:t>
      </w:r>
      <w:bookmarkEnd w:id="11"/>
    </w:p>
    <w:p w14:paraId="344126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1.规则说明：</w:t>
      </w:r>
    </w:p>
    <w:p w14:paraId="50C4A0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1）三代系统，针对</w:t>
      </w:r>
      <w:r>
        <w:rPr>
          <w:rFonts w:ascii="Arial" w:hAnsi="Arial" w:eastAsia="等线" w:cs="Arial"/>
          <w:sz w:val="22"/>
          <w:shd w:val="clear" w:fill="FFF67A"/>
        </w:rPr>
        <w:t>天财</w:t>
      </w:r>
      <w:r>
        <w:rPr>
          <w:rFonts w:ascii="Arial" w:hAnsi="Arial" w:eastAsia="等线" w:cs="Arial"/>
          <w:sz w:val="22"/>
          <w:shd w:val="clear" w:fill="F76964"/>
        </w:rPr>
        <w:t>新</w:t>
      </w:r>
      <w:r>
        <w:rPr>
          <w:rFonts w:ascii="Arial" w:hAnsi="Arial" w:eastAsia="等线" w:cs="Arial"/>
          <w:sz w:val="22"/>
          <w:shd w:val="clear" w:fill="FFF67A"/>
        </w:rPr>
        <w:t>机构下的所有商户</w:t>
      </w:r>
      <w:r>
        <w:rPr>
          <w:rFonts w:ascii="Arial" w:hAnsi="Arial" w:eastAsia="等线" w:cs="Arial"/>
          <w:sz w:val="22"/>
        </w:rPr>
        <w:t>，1）默认退货模式，主动结算默认终点账户+退货账户，被动结算默认优先扣待结算； 2）支持商户主被动结算切换时，自动变更退货模式；</w:t>
      </w:r>
    </w:p>
    <w:p w14:paraId="343A34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2）</w:t>
      </w:r>
      <w:r>
        <w:rPr>
          <w:rFonts w:ascii="Arial" w:hAnsi="Arial" w:eastAsia="等线" w:cs="Arial"/>
          <w:sz w:val="22"/>
          <w:shd w:val="clear" w:fill="FBBFBC"/>
        </w:rPr>
        <w:t>如天财使用老机构号，需要三代人工配置退货模式；（分公司走流程）</w:t>
      </w:r>
    </w:p>
    <w:p w14:paraId="1C72B3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3）走退货前置流程，退货模式为“终点账户+退货账户模式”，退货前置查询终点账户为“天财收款账户”时，调清结算扣“天财收款账户”或收单商户退货账户余额；</w:t>
      </w:r>
    </w:p>
    <w:p w14:paraId="2590AA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3）退货前置查终点账户时，清结算返回天财收款账户号</w:t>
      </w:r>
      <w:r>
        <w:rPr>
          <w:rFonts w:ascii="Arial" w:hAnsi="Arial" w:eastAsia="等线" w:cs="Arial"/>
          <w:color w:val="D83931"/>
          <w:sz w:val="22"/>
        </w:rPr>
        <w:t>、</w:t>
      </w:r>
      <w:r>
        <w:rPr>
          <w:rFonts w:ascii="Arial" w:hAnsi="Arial" w:eastAsia="等线" w:cs="Arial"/>
          <w:sz w:val="22"/>
          <w:shd w:val="clear" w:fill="FFF67A"/>
        </w:rPr>
        <w:t>账户类型：天财收款账户；支持查询商户目标账户余额+商户待结算相关列表</w:t>
      </w:r>
    </w:p>
    <w:p w14:paraId="405A98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4）天财收款账户余额不足时，支持预扣退货账户资金（收单账户对应的04账户）；</w:t>
      </w:r>
    </w:p>
    <w:p w14:paraId="6B576B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5）退货前置、账户系统，现有系统功能已兼容</w:t>
      </w:r>
    </w:p>
    <w:p w14:paraId="045B25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2.流程说明：</w:t>
      </w:r>
    </w:p>
    <w:p w14:paraId="601092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1）关键流程节点如下：（走蓝色标记线路）</w:t>
      </w:r>
    </w:p>
    <w:p w14:paraId="021E080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00325"/>
            <wp:effectExtent l="0" t="0" r="0" b="5715"/>
            <wp:docPr id="16" name="Drawing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AA7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257425"/>
            <wp:effectExtent l="0" t="0" r="0" b="13335"/>
            <wp:docPr id="17" name="Drawing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1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64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245BDB"/>
          <w:sz w:val="22"/>
        </w:rPr>
        <w:t>完整版流程：走蓝色标记线</w:t>
      </w:r>
    </w:p>
    <w:p w14:paraId="6F4F414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7820025"/>
            <wp:effectExtent l="0" t="0" r="0" b="13335"/>
            <wp:docPr id="18" name="Drawing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1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82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2073">
      <w:pPr>
        <w:spacing w:before="120" w:after="120" w:line="288" w:lineRule="auto"/>
        <w:ind w:left="0"/>
        <w:jc w:val="left"/>
      </w:pPr>
    </w:p>
    <w:p w14:paraId="2B6272EA">
      <w:pPr>
        <w:spacing w:before="120" w:after="120" w:line="288" w:lineRule="auto"/>
        <w:ind w:left="0"/>
        <w:jc w:val="left"/>
      </w:pPr>
    </w:p>
    <w:p w14:paraId="09F53335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（十一）风控冻结</w:t>
      </w:r>
      <w:bookmarkEnd w:id="12"/>
    </w:p>
    <w:p w14:paraId="7C9717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1.当风控发起“商户冻结”：冻结收单商户对应的天财收款账户；同现有收款账户的冻结流程；</w:t>
      </w:r>
    </w:p>
    <w:p w14:paraId="1B676C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2.当风控发起“交易冻结”：支持冻结已结算至天财收款账户资金；</w:t>
      </w:r>
    </w:p>
    <w:p w14:paraId="4A7F03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3.商户冻结流程图：</w:t>
      </w:r>
    </w:p>
    <w:p w14:paraId="57B2FE8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581400"/>
            <wp:effectExtent l="0" t="0" r="0" b="0"/>
            <wp:docPr id="19" name="Drawing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 1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1221">
      <w:pPr>
        <w:spacing w:before="120" w:after="120" w:line="288" w:lineRule="auto"/>
        <w:ind w:left="0"/>
        <w:jc w:val="left"/>
      </w:pPr>
    </w:p>
    <w:p w14:paraId="7A8722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4.交易冻结流程图</w:t>
      </w:r>
    </w:p>
    <w:p w14:paraId="26C6745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629150"/>
            <wp:effectExtent l="0" t="0" r="0" b="3810"/>
            <wp:docPr id="20" name="Drawing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rawing 1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C2AA">
      <w:pPr>
        <w:spacing w:before="120" w:after="120" w:line="288" w:lineRule="auto"/>
        <w:ind w:left="0"/>
        <w:jc w:val="left"/>
      </w:pPr>
    </w:p>
    <w:p w14:paraId="77AA3D1A">
      <w:pPr>
        <w:spacing w:before="300" w:after="120" w:line="288" w:lineRule="auto"/>
        <w:ind w:left="0"/>
        <w:jc w:val="left"/>
        <w:outlineLvl w:val="2"/>
      </w:pPr>
      <w:bookmarkStart w:id="13" w:name="heading_13"/>
      <w:bookmarkEnd w:id="13"/>
    </w:p>
    <w:p w14:paraId="231954F5">
      <w:pPr>
        <w:spacing w:before="120" w:after="120" w:line="288" w:lineRule="auto"/>
        <w:ind w:left="0"/>
        <w:jc w:val="left"/>
      </w:pPr>
    </w:p>
    <w:p w14:paraId="70FE4C4F">
      <w:pPr>
        <w:spacing w:before="120" w:after="120" w:line="288" w:lineRule="auto"/>
        <w:ind w:left="0"/>
        <w:jc w:val="left"/>
      </w:pPr>
    </w:p>
    <w:p w14:paraId="2C5885F4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（十二）协议签署</w:t>
      </w:r>
      <w:bookmarkEnd w:id="14"/>
    </w:p>
    <w:p w14:paraId="3B0CE6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1.拉卡拉&amp;天财总协议：12.27</w:t>
      </w:r>
    </w:p>
    <w:p w14:paraId="734F5E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2.拉卡拉&amp;总店：</w:t>
      </w:r>
    </w:p>
    <w:p w14:paraId="692731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1）线下/线上协议；</w:t>
      </w:r>
    </w:p>
    <w:p w14:paraId="146C61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2）包含收单协议、分账（归集、批量付款、会员结算）全部条款；</w:t>
      </w:r>
    </w:p>
    <w:p w14:paraId="3BBD42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3.拉卡拉&amp;门店：</w:t>
      </w:r>
    </w:p>
    <w:p w14:paraId="033602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1）收单协议；</w:t>
      </w:r>
    </w:p>
    <w:p w14:paraId="428AB4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2）代付+授权协议（短信H5）；</w:t>
      </w:r>
    </w:p>
    <w:p w14:paraId="7ECD83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4.总店与门店/接收方（短信H5）</w:t>
      </w:r>
    </w:p>
    <w:p w14:paraId="266DA6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5.其他参考协议：</w:t>
      </w:r>
    </w:p>
    <w:p w14:paraId="6C647B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1）天财与总店【软件合同】，天财与门店【软件合同】；</w:t>
      </w:r>
    </w:p>
    <w:p w14:paraId="41A0F5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2）富管家与总店协议；</w:t>
      </w:r>
    </w:p>
    <w:p w14:paraId="2F655D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646A73"/>
          <w:sz w:val="22"/>
        </w:rPr>
        <w:t>[富管家资金管理系统服务协议2023V3.0--（归集+分账）.pdf]</w:t>
      </w:r>
    </w:p>
    <w:p w14:paraId="36813F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2）富友与门店收单协议，企业纸质，个体短信电子签；</w:t>
      </w:r>
    </w:p>
    <w:p w14:paraId="05E450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3）总店&amp;入账方协议（入账方开户）</w:t>
      </w:r>
    </w:p>
    <w:p w14:paraId="270469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646A73"/>
          <w:sz w:val="22"/>
        </w:rPr>
        <w:t>[总店&amp;入账方协议.pdf]</w:t>
      </w:r>
    </w:p>
    <w:p w14:paraId="0A45B440">
      <w:pPr>
        <w:spacing w:before="120" w:after="120" w:line="288" w:lineRule="auto"/>
        <w:ind w:left="0"/>
        <w:jc w:val="left"/>
      </w:pPr>
    </w:p>
    <w:p w14:paraId="5F8E4F31">
      <w:pPr>
        <w:spacing w:before="120" w:after="120" w:line="288" w:lineRule="auto"/>
        <w:ind w:left="0"/>
        <w:jc w:val="left"/>
      </w:pPr>
    </w:p>
    <w:p w14:paraId="562A7E42">
      <w:pPr>
        <w:spacing w:before="120" w:after="120" w:line="288" w:lineRule="auto"/>
        <w:ind w:left="0"/>
        <w:jc w:val="left"/>
      </w:pPr>
    </w:p>
    <w:p w14:paraId="3139A894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三、功能需求</w:t>
      </w:r>
      <w:bookmarkEnd w:id="15"/>
    </w:p>
    <w:p w14:paraId="4EF3ADB9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1.行业钱包</w:t>
      </w:r>
      <w:bookmarkEnd w:id="16"/>
    </w:p>
    <w:p w14:paraId="531F8AFE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开天财专用账户时，校验是</w:t>
      </w:r>
      <w:r>
        <w:rPr>
          <w:rFonts w:ascii="Arial" w:hAnsi="Arial" w:eastAsia="等线" w:cs="Arial"/>
          <w:color w:val="D83931"/>
          <w:sz w:val="22"/>
        </w:rPr>
        <w:t>否天财机构号；</w:t>
      </w:r>
    </w:p>
    <w:p w14:paraId="4BFC9C73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对天财收款账户分角色管理（总部、门店，非必填）;</w:t>
      </w:r>
    </w:p>
    <w:p w14:paraId="56E8C947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批量付款&amp;会员结算场景下绑定关系时，校验是否“开通付款”；</w:t>
      </w:r>
    </w:p>
    <w:p w14:paraId="6DACC445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接收分账请求，校验绑定关系（协议+认证结果）；</w:t>
      </w:r>
    </w:p>
    <w:p w14:paraId="1D1658F5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认证结果管理（归集场景，校验付方认证结果+协议；付款给接收方，校验接收方认证结果+协议；会员结算，校验收方认证+协议）；</w:t>
      </w:r>
    </w:p>
    <w:p w14:paraId="3463529F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机构号&amp;天财收款账户关系管理；</w:t>
      </w:r>
    </w:p>
    <w:p w14:paraId="0D9567B7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行业钱包同步数据给业务核心；</w:t>
      </w:r>
    </w:p>
    <w:p w14:paraId="1A081398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BBFBC"/>
        </w:rPr>
        <w:t>封装接账方（开户+绑定）接口；</w:t>
      </w:r>
    </w:p>
    <w:p w14:paraId="254A0223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FF67A"/>
        </w:rPr>
        <w:t>对天财机构的所有开户请求打“天财”账户标记，并流转至账户系统底层；</w:t>
      </w:r>
    </w:p>
    <w:p w14:paraId="6B2507EF">
      <w:pPr>
        <w:spacing w:before="120" w:after="120" w:line="288" w:lineRule="auto"/>
        <w:ind w:left="0"/>
        <w:jc w:val="left"/>
      </w:pPr>
    </w:p>
    <w:p w14:paraId="3FF0905F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2.账户系统</w:t>
      </w:r>
      <w:bookmarkEnd w:id="17"/>
    </w:p>
    <w:p w14:paraId="42D68D13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开通专用账户：天财收款账户、天财接收方账户，由账户底层控制该2类账户的能力，并做特殊标记返回行业钱包、三代留存；</w:t>
      </w:r>
    </w:p>
    <w:p w14:paraId="0C7F6E57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FF67A"/>
        </w:rPr>
        <w:t>普通收款账户留存“天财”标记；</w:t>
      </w:r>
    </w:p>
    <w:p w14:paraId="40270D92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支持天财机构号下，普通收款账户</w:t>
      </w:r>
      <w:r>
        <w:rPr>
          <w:rFonts w:ascii="Arial" w:hAnsi="Arial" w:eastAsia="等线" w:cs="Arial"/>
          <w:color w:val="D83931"/>
          <w:sz w:val="22"/>
        </w:rPr>
        <w:t>升级为天财收款账户，或另开天财收款账户</w:t>
      </w:r>
      <w:r>
        <w:rPr>
          <w:rFonts w:ascii="Arial" w:hAnsi="Arial" w:eastAsia="等线" w:cs="Arial"/>
          <w:sz w:val="22"/>
        </w:rPr>
        <w:t>；</w:t>
      </w:r>
    </w:p>
    <w:p w14:paraId="63D4C162">
      <w:pPr>
        <w:spacing w:before="120" w:after="120" w:line="288" w:lineRule="auto"/>
        <w:ind w:left="0"/>
        <w:jc w:val="left"/>
      </w:pPr>
    </w:p>
    <w:p w14:paraId="29C7F079">
      <w:pPr>
        <w:spacing w:before="120" w:after="120" w:line="288" w:lineRule="auto"/>
        <w:ind w:left="0"/>
        <w:jc w:val="left"/>
      </w:pPr>
    </w:p>
    <w:p w14:paraId="47ED1E7E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 xml:space="preserve"> 3.清结算</w:t>
      </w:r>
      <w:bookmarkEnd w:id="18"/>
    </w:p>
    <w:p w14:paraId="47934F4C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接收三代同步的结算账户配置；</w:t>
      </w:r>
    </w:p>
    <w:p w14:paraId="0B2BBDA2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退货账户查询时，返回终点账户类型：天财收款账户；</w:t>
      </w:r>
    </w:p>
    <w:p w14:paraId="0C88AC77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支持专用账户冻结；</w:t>
      </w:r>
    </w:p>
    <w:p w14:paraId="1A5A1AE1">
      <w:pPr>
        <w:spacing w:before="120" w:after="120" w:line="288" w:lineRule="auto"/>
        <w:ind w:left="0"/>
        <w:jc w:val="left"/>
      </w:pPr>
    </w:p>
    <w:p w14:paraId="0E460FED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4.三代</w:t>
      </w:r>
      <w:bookmarkEnd w:id="19"/>
    </w:p>
    <w:p w14:paraId="2D777E71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调钱包开通天财收款账户、天财接收方账户；</w:t>
      </w:r>
    </w:p>
    <w:p w14:paraId="01FBCE8C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校验是否天财机构号，如收单商户开通天财分账，配置其结算账户为天财收款账户；</w:t>
      </w:r>
    </w:p>
    <w:p w14:paraId="05591C8A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提供分账关系绑定接口；</w:t>
      </w:r>
    </w:p>
    <w:p w14:paraId="6CB4E495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对天财机构的所有开户请求打“天财”账户标记，并流转至账户系统底层；</w:t>
      </w:r>
    </w:p>
    <w:p w14:paraId="6D9DB2AC">
      <w:pPr>
        <w:spacing w:before="120" w:after="120" w:line="288" w:lineRule="auto"/>
        <w:ind w:left="0"/>
        <w:jc w:val="left"/>
      </w:pPr>
    </w:p>
    <w:p w14:paraId="3C911C8B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5.认证系统</w:t>
      </w:r>
      <w:bookmarkEnd w:id="20"/>
    </w:p>
    <w:p w14:paraId="59E5C7EC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包装打款验证接口，校验回填金额；</w:t>
      </w:r>
    </w:p>
    <w:p w14:paraId="53EB28BC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包装人脸验证接口:支持活检+核验；</w:t>
      </w:r>
    </w:p>
    <w:p w14:paraId="74950D2A">
      <w:pPr>
        <w:spacing w:before="120" w:after="120" w:line="288" w:lineRule="auto"/>
        <w:ind w:left="0"/>
        <w:jc w:val="left"/>
      </w:pPr>
    </w:p>
    <w:p w14:paraId="31A0901E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6.电子签章系统</w:t>
      </w:r>
      <w:bookmarkEnd w:id="21"/>
    </w:p>
    <w:p w14:paraId="4D933620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协议模板</w:t>
      </w:r>
    </w:p>
    <w:p w14:paraId="3BC8CDE9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配置短信模板</w:t>
      </w:r>
    </w:p>
    <w:p w14:paraId="684B861E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调认证系统、协议签章；</w:t>
      </w:r>
    </w:p>
    <w:p w14:paraId="6720ACCA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H5及短信发送；</w:t>
      </w:r>
    </w:p>
    <w:p w14:paraId="09C6E1FC">
      <w:pPr>
        <w:spacing w:before="120" w:after="120" w:line="288" w:lineRule="auto"/>
        <w:ind w:left="0"/>
        <w:jc w:val="left"/>
      </w:pPr>
    </w:p>
    <w:p w14:paraId="63098C38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7.账务核心系统</w:t>
      </w:r>
      <w:bookmarkEnd w:id="22"/>
    </w:p>
    <w:p w14:paraId="33D560B0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转账/分账记账分录码；</w:t>
      </w:r>
    </w:p>
    <w:p w14:paraId="366E37A0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打款验证记账分录码；</w:t>
      </w:r>
    </w:p>
    <w:p w14:paraId="14F634ED">
      <w:pPr>
        <w:spacing w:before="120" w:after="120" w:line="288" w:lineRule="auto"/>
        <w:ind w:left="0"/>
        <w:jc w:val="left"/>
      </w:pPr>
    </w:p>
    <w:p w14:paraId="5CC8687A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8.计费中台</w:t>
      </w:r>
      <w:bookmarkEnd w:id="23"/>
    </w:p>
    <w:p w14:paraId="683263F5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提供转账计费能力</w:t>
      </w:r>
    </w:p>
    <w:p w14:paraId="396793D7">
      <w:pPr>
        <w:spacing w:before="120" w:after="120" w:line="288" w:lineRule="auto"/>
        <w:ind w:left="0"/>
        <w:jc w:val="left"/>
      </w:pPr>
    </w:p>
    <w:p w14:paraId="0ADB260C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9.对账单系统</w:t>
      </w:r>
      <w:bookmarkEnd w:id="24"/>
    </w:p>
    <w:p w14:paraId="418AF38D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生成新”天财分账“账单，交易来源于钱包（行业钱包同步业务核心）；</w:t>
      </w:r>
    </w:p>
    <w:p w14:paraId="7C028458">
      <w:pPr>
        <w:spacing w:before="120" w:after="120" w:line="288" w:lineRule="auto"/>
        <w:ind w:left="0"/>
        <w:jc w:val="left"/>
      </w:pPr>
    </w:p>
    <w:p w14:paraId="59E88CCB">
      <w:pPr>
        <w:spacing w:before="120" w:after="120" w:line="288" w:lineRule="auto"/>
        <w:ind w:left="0"/>
        <w:jc w:val="left"/>
      </w:pPr>
    </w:p>
    <w:p w14:paraId="4E5021B9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10.业务核心</w:t>
      </w:r>
      <w:bookmarkEnd w:id="25"/>
    </w:p>
    <w:p w14:paraId="1EABC1CC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收”天财分账“交易；</w:t>
      </w:r>
    </w:p>
    <w:p w14:paraId="42CDC4E0">
      <w:pPr>
        <w:spacing w:before="120" w:after="120" w:line="288" w:lineRule="auto"/>
        <w:ind w:left="0"/>
        <w:jc w:val="left"/>
      </w:pPr>
    </w:p>
    <w:p w14:paraId="1E36F1E8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11.钱包app、商服平台</w:t>
      </w:r>
      <w:bookmarkEnd w:id="26"/>
    </w:p>
    <w:p w14:paraId="10C469AD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BBFBC"/>
        </w:rPr>
        <w:t>新机构号需要钱包APP/商服平台关闭提现入口、结算模式切换入口；（关闭登录入口也可）</w:t>
      </w:r>
    </w:p>
    <w:p w14:paraId="23EA805F">
      <w:pPr>
        <w:spacing w:before="120" w:after="120" w:line="288" w:lineRule="auto"/>
        <w:ind w:left="0"/>
        <w:jc w:val="left"/>
      </w:pPr>
    </w:p>
    <w:p w14:paraId="22035076">
      <w:pPr>
        <w:spacing w:before="120" w:after="120" w:line="288" w:lineRule="auto"/>
        <w:ind w:left="0"/>
        <w:jc w:val="both"/>
      </w:pPr>
    </w:p>
    <w:p w14:paraId="1055777D">
      <w:pPr>
        <w:spacing w:before="120" w:after="120" w:line="288" w:lineRule="auto"/>
        <w:ind w:left="0"/>
        <w:jc w:val="left"/>
      </w:pPr>
    </w:p>
    <w:p w14:paraId="1FD89780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16986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71602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994F45"/>
    <w:multiLevelType w:val="singleLevel"/>
    <w:tmpl w:val="84994F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7B75F0A"/>
    <w:multiLevelType w:val="singleLevel"/>
    <w:tmpl w:val="87B75F0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9017BA21"/>
    <w:multiLevelType w:val="singleLevel"/>
    <w:tmpl w:val="9017BA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30EE254"/>
    <w:multiLevelType w:val="singleLevel"/>
    <w:tmpl w:val="930EE2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41D12A9"/>
    <w:multiLevelType w:val="singleLevel"/>
    <w:tmpl w:val="941D12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95E682A1"/>
    <w:multiLevelType w:val="singleLevel"/>
    <w:tmpl w:val="95E682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B1F845E"/>
    <w:multiLevelType w:val="singleLevel"/>
    <w:tmpl w:val="9B1F845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D9F4F4D"/>
    <w:multiLevelType w:val="singleLevel"/>
    <w:tmpl w:val="9D9F4F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F91FE98"/>
    <w:multiLevelType w:val="singleLevel"/>
    <w:tmpl w:val="9F91FE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A5435042"/>
    <w:multiLevelType w:val="singleLevel"/>
    <w:tmpl w:val="A543504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A97D620A"/>
    <w:multiLevelType w:val="singleLevel"/>
    <w:tmpl w:val="A97D620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B0082E4F"/>
    <w:multiLevelType w:val="singleLevel"/>
    <w:tmpl w:val="B0082E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08374AC"/>
    <w:multiLevelType w:val="singleLevel"/>
    <w:tmpl w:val="B08374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B15ABE86"/>
    <w:multiLevelType w:val="singleLevel"/>
    <w:tmpl w:val="B15ABE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1CC6FF1"/>
    <w:multiLevelType w:val="singleLevel"/>
    <w:tmpl w:val="B1CC6FF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B4E02BC3"/>
    <w:multiLevelType w:val="singleLevel"/>
    <w:tmpl w:val="B4E02BC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B5601969"/>
    <w:multiLevelType w:val="singleLevel"/>
    <w:tmpl w:val="B56019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5CF74F5"/>
    <w:multiLevelType w:val="singleLevel"/>
    <w:tmpl w:val="B5CF74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B99465BD"/>
    <w:multiLevelType w:val="singleLevel"/>
    <w:tmpl w:val="B99465B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A550FDB"/>
    <w:multiLevelType w:val="singleLevel"/>
    <w:tmpl w:val="BA550FD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BC837A95"/>
    <w:multiLevelType w:val="singleLevel"/>
    <w:tmpl w:val="BC837A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C0283A65"/>
    <w:multiLevelType w:val="singleLevel"/>
    <w:tmpl w:val="C0283A6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C9412743"/>
    <w:multiLevelType w:val="singleLevel"/>
    <w:tmpl w:val="C94127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CB94649F"/>
    <w:multiLevelType w:val="singleLevel"/>
    <w:tmpl w:val="CB94649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D5F12F34"/>
    <w:multiLevelType w:val="singleLevel"/>
    <w:tmpl w:val="D5F12F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DAE62134"/>
    <w:multiLevelType w:val="singleLevel"/>
    <w:tmpl w:val="DAE621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E93EBC56"/>
    <w:multiLevelType w:val="singleLevel"/>
    <w:tmpl w:val="E93EBC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F066642F"/>
    <w:multiLevelType w:val="singleLevel"/>
    <w:tmpl w:val="F066642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F1FCDEFA"/>
    <w:multiLevelType w:val="singleLevel"/>
    <w:tmpl w:val="F1FCDE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F2A81E1A"/>
    <w:multiLevelType w:val="singleLevel"/>
    <w:tmpl w:val="F2A81E1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F30FC083"/>
    <w:multiLevelType w:val="singleLevel"/>
    <w:tmpl w:val="F30FC08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F9718D3C"/>
    <w:multiLevelType w:val="singleLevel"/>
    <w:tmpl w:val="F9718D3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F97CED97"/>
    <w:multiLevelType w:val="singleLevel"/>
    <w:tmpl w:val="F97CED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FCC85EE2"/>
    <w:multiLevelType w:val="singleLevel"/>
    <w:tmpl w:val="FCC85EE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01D7E1C7"/>
    <w:multiLevelType w:val="singleLevel"/>
    <w:tmpl w:val="01D7E1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0258E135"/>
    <w:multiLevelType w:val="singleLevel"/>
    <w:tmpl w:val="0258E1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07F5BCC3"/>
    <w:multiLevelType w:val="singleLevel"/>
    <w:tmpl w:val="07F5BCC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0CCB9E98"/>
    <w:multiLevelType w:val="singleLevel"/>
    <w:tmpl w:val="0CCB9E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0F929F01"/>
    <w:multiLevelType w:val="singleLevel"/>
    <w:tmpl w:val="0F929F0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13660E3F"/>
    <w:multiLevelType w:val="singleLevel"/>
    <w:tmpl w:val="13660E3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1483906D"/>
    <w:multiLevelType w:val="singleLevel"/>
    <w:tmpl w:val="148390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192B173A"/>
    <w:multiLevelType w:val="singleLevel"/>
    <w:tmpl w:val="192B17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1B3FCE26"/>
    <w:multiLevelType w:val="singleLevel"/>
    <w:tmpl w:val="1B3FC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3">
    <w:nsid w:val="1C01D09A"/>
    <w:multiLevelType w:val="singleLevel"/>
    <w:tmpl w:val="1C01D09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252BF6AB"/>
    <w:multiLevelType w:val="singleLevel"/>
    <w:tmpl w:val="252BF6A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5">
    <w:nsid w:val="269945CE"/>
    <w:multiLevelType w:val="singleLevel"/>
    <w:tmpl w:val="269945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6">
    <w:nsid w:val="274D3D9B"/>
    <w:multiLevelType w:val="singleLevel"/>
    <w:tmpl w:val="274D3D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329A4FD1"/>
    <w:multiLevelType w:val="singleLevel"/>
    <w:tmpl w:val="329A4F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333E8B90"/>
    <w:multiLevelType w:val="singleLevel"/>
    <w:tmpl w:val="333E8B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35ECE9CB"/>
    <w:multiLevelType w:val="singleLevel"/>
    <w:tmpl w:val="35ECE9C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0">
    <w:nsid w:val="3664A4D1"/>
    <w:multiLevelType w:val="singleLevel"/>
    <w:tmpl w:val="3664A4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38EAC418"/>
    <w:multiLevelType w:val="singleLevel"/>
    <w:tmpl w:val="38EAC4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3D950AF9"/>
    <w:multiLevelType w:val="singleLevel"/>
    <w:tmpl w:val="3D950A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3">
    <w:nsid w:val="408860E8"/>
    <w:multiLevelType w:val="singleLevel"/>
    <w:tmpl w:val="408860E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4">
    <w:nsid w:val="429CD0B5"/>
    <w:multiLevelType w:val="singleLevel"/>
    <w:tmpl w:val="429CD0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4AD1D84F"/>
    <w:multiLevelType w:val="singleLevel"/>
    <w:tmpl w:val="4AD1D8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6">
    <w:nsid w:val="4E709187"/>
    <w:multiLevelType w:val="singleLevel"/>
    <w:tmpl w:val="4E7091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4EA76503"/>
    <w:multiLevelType w:val="singleLevel"/>
    <w:tmpl w:val="4EA765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4F00C6B4"/>
    <w:multiLevelType w:val="singleLevel"/>
    <w:tmpl w:val="4F00C6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4FA7FC34"/>
    <w:multiLevelType w:val="singleLevel"/>
    <w:tmpl w:val="4FA7FC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0">
    <w:nsid w:val="598DAF6D"/>
    <w:multiLevelType w:val="singleLevel"/>
    <w:tmpl w:val="598DAF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5A8377A7"/>
    <w:multiLevelType w:val="singleLevel"/>
    <w:tmpl w:val="5A8377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63B12E74"/>
    <w:multiLevelType w:val="singleLevel"/>
    <w:tmpl w:val="63B12E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64C0CB79"/>
    <w:multiLevelType w:val="singleLevel"/>
    <w:tmpl w:val="64C0CB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651422BE"/>
    <w:multiLevelType w:val="singleLevel"/>
    <w:tmpl w:val="651422B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659EB354"/>
    <w:multiLevelType w:val="singleLevel"/>
    <w:tmpl w:val="659EB3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6AFC2A1C"/>
    <w:multiLevelType w:val="singleLevel"/>
    <w:tmpl w:val="6AFC2A1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6C0BE2D1"/>
    <w:multiLevelType w:val="singleLevel"/>
    <w:tmpl w:val="6C0BE2D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8">
    <w:nsid w:val="70F95E71"/>
    <w:multiLevelType w:val="singleLevel"/>
    <w:tmpl w:val="70F95E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744F3566"/>
    <w:multiLevelType w:val="singleLevel"/>
    <w:tmpl w:val="744F35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7499D7B3"/>
    <w:multiLevelType w:val="singleLevel"/>
    <w:tmpl w:val="7499D7B3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5"/>
  </w:num>
  <w:num w:numId="2">
    <w:abstractNumId w:val="28"/>
  </w:num>
  <w:num w:numId="3">
    <w:abstractNumId w:val="34"/>
  </w:num>
  <w:num w:numId="4">
    <w:abstractNumId w:val="22"/>
  </w:num>
  <w:num w:numId="5">
    <w:abstractNumId w:val="51"/>
  </w:num>
  <w:num w:numId="6">
    <w:abstractNumId w:val="66"/>
  </w:num>
  <w:num w:numId="7">
    <w:abstractNumId w:val="25"/>
  </w:num>
  <w:num w:numId="8">
    <w:abstractNumId w:val="10"/>
  </w:num>
  <w:num w:numId="9">
    <w:abstractNumId w:val="1"/>
  </w:num>
  <w:num w:numId="10">
    <w:abstractNumId w:val="12"/>
  </w:num>
  <w:num w:numId="11">
    <w:abstractNumId w:val="36"/>
  </w:num>
  <w:num w:numId="12">
    <w:abstractNumId w:val="15"/>
  </w:num>
  <w:num w:numId="13">
    <w:abstractNumId w:val="29"/>
  </w:num>
  <w:num w:numId="14">
    <w:abstractNumId w:val="44"/>
  </w:num>
  <w:num w:numId="15">
    <w:abstractNumId w:val="55"/>
  </w:num>
  <w:num w:numId="16">
    <w:abstractNumId w:val="14"/>
  </w:num>
  <w:num w:numId="17">
    <w:abstractNumId w:val="52"/>
  </w:num>
  <w:num w:numId="18">
    <w:abstractNumId w:val="42"/>
  </w:num>
  <w:num w:numId="19">
    <w:abstractNumId w:val="40"/>
  </w:num>
  <w:num w:numId="20">
    <w:abstractNumId w:val="31"/>
  </w:num>
  <w:num w:numId="21">
    <w:abstractNumId w:val="49"/>
  </w:num>
  <w:num w:numId="22">
    <w:abstractNumId w:val="21"/>
  </w:num>
  <w:num w:numId="23">
    <w:abstractNumId w:val="59"/>
  </w:num>
  <w:num w:numId="24">
    <w:abstractNumId w:val="53"/>
  </w:num>
  <w:num w:numId="25">
    <w:abstractNumId w:val="46"/>
  </w:num>
  <w:num w:numId="26">
    <w:abstractNumId w:val="27"/>
  </w:num>
  <w:num w:numId="27">
    <w:abstractNumId w:val="9"/>
  </w:num>
  <w:num w:numId="28">
    <w:abstractNumId w:val="70"/>
  </w:num>
  <w:num w:numId="29">
    <w:abstractNumId w:val="45"/>
  </w:num>
  <w:num w:numId="30">
    <w:abstractNumId w:val="67"/>
  </w:num>
  <w:num w:numId="31">
    <w:abstractNumId w:val="4"/>
  </w:num>
  <w:num w:numId="32">
    <w:abstractNumId w:val="65"/>
  </w:num>
  <w:num w:numId="33">
    <w:abstractNumId w:val="23"/>
  </w:num>
  <w:num w:numId="34">
    <w:abstractNumId w:val="62"/>
  </w:num>
  <w:num w:numId="35">
    <w:abstractNumId w:val="47"/>
  </w:num>
  <w:num w:numId="36">
    <w:abstractNumId w:val="69"/>
  </w:num>
  <w:num w:numId="37">
    <w:abstractNumId w:val="68"/>
  </w:num>
  <w:num w:numId="38">
    <w:abstractNumId w:val="24"/>
  </w:num>
  <w:num w:numId="39">
    <w:abstractNumId w:val="30"/>
  </w:num>
  <w:num w:numId="40">
    <w:abstractNumId w:val="33"/>
  </w:num>
  <w:num w:numId="41">
    <w:abstractNumId w:val="3"/>
  </w:num>
  <w:num w:numId="42">
    <w:abstractNumId w:val="16"/>
  </w:num>
  <w:num w:numId="43">
    <w:abstractNumId w:val="54"/>
  </w:num>
  <w:num w:numId="44">
    <w:abstractNumId w:val="17"/>
  </w:num>
  <w:num w:numId="45">
    <w:abstractNumId w:val="63"/>
  </w:num>
  <w:num w:numId="46">
    <w:abstractNumId w:val="58"/>
  </w:num>
  <w:num w:numId="47">
    <w:abstractNumId w:val="61"/>
  </w:num>
  <w:num w:numId="48">
    <w:abstractNumId w:val="20"/>
  </w:num>
  <w:num w:numId="49">
    <w:abstractNumId w:val="48"/>
  </w:num>
  <w:num w:numId="50">
    <w:abstractNumId w:val="26"/>
  </w:num>
  <w:num w:numId="51">
    <w:abstractNumId w:val="43"/>
  </w:num>
  <w:num w:numId="52">
    <w:abstractNumId w:val="0"/>
  </w:num>
  <w:num w:numId="53">
    <w:abstractNumId w:val="11"/>
  </w:num>
  <w:num w:numId="54">
    <w:abstractNumId w:val="39"/>
  </w:num>
  <w:num w:numId="55">
    <w:abstractNumId w:val="57"/>
  </w:num>
  <w:num w:numId="56">
    <w:abstractNumId w:val="64"/>
  </w:num>
  <w:num w:numId="57">
    <w:abstractNumId w:val="18"/>
  </w:num>
  <w:num w:numId="58">
    <w:abstractNumId w:val="7"/>
  </w:num>
  <w:num w:numId="59">
    <w:abstractNumId w:val="41"/>
  </w:num>
  <w:num w:numId="60">
    <w:abstractNumId w:val="32"/>
  </w:num>
  <w:num w:numId="61">
    <w:abstractNumId w:val="19"/>
  </w:num>
  <w:num w:numId="62">
    <w:abstractNumId w:val="13"/>
  </w:num>
  <w:num w:numId="63">
    <w:abstractNumId w:val="37"/>
  </w:num>
  <w:num w:numId="64">
    <w:abstractNumId w:val="38"/>
  </w:num>
  <w:num w:numId="65">
    <w:abstractNumId w:val="50"/>
  </w:num>
  <w:num w:numId="66">
    <w:abstractNumId w:val="35"/>
  </w:num>
  <w:num w:numId="67">
    <w:abstractNumId w:val="6"/>
  </w:num>
  <w:num w:numId="68">
    <w:abstractNumId w:val="60"/>
  </w:num>
  <w:num w:numId="69">
    <w:abstractNumId w:val="8"/>
  </w:num>
  <w:num w:numId="70">
    <w:abstractNumId w:val="2"/>
  </w:num>
  <w:num w:numId="71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Y2FlYzEwZTI1ZWMyOGVmNjgxOTlmYTI1OTU2MzQ2N2IifQ=="/>
  </w:docVars>
  <w:rsids>
    <w:rsidRoot w:val="00000000"/>
    <w:rsid w:val="48FE325D"/>
    <w:rsid w:val="4EA621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0" Type="http://schemas.openxmlformats.org/officeDocument/2006/relationships/fontTable" Target="fontTable.xml"/><Relationship Id="rId4" Type="http://schemas.openxmlformats.org/officeDocument/2006/relationships/footer" Target="footer1.xml"/><Relationship Id="rId39" Type="http://schemas.openxmlformats.org/officeDocument/2006/relationships/numbering" Target="numbering.xml"/><Relationship Id="rId38" Type="http://schemas.openxmlformats.org/officeDocument/2006/relationships/image" Target="media/image26.jpeg"/><Relationship Id="rId37" Type="http://schemas.openxmlformats.org/officeDocument/2006/relationships/image" Target="media/image25.jpeg"/><Relationship Id="rId36" Type="http://schemas.openxmlformats.org/officeDocument/2006/relationships/image" Target="media/image24.png"/><Relationship Id="rId35" Type="http://schemas.openxmlformats.org/officeDocument/2006/relationships/image" Target="media/image23.png"/><Relationship Id="rId34" Type="http://schemas.openxmlformats.org/officeDocument/2006/relationships/image" Target="media/image22.png"/><Relationship Id="rId33" Type="http://schemas.openxmlformats.org/officeDocument/2006/relationships/image" Target="media/image21.jpeg"/><Relationship Id="rId32" Type="http://schemas.openxmlformats.org/officeDocument/2006/relationships/package" Target="embeddings/Workbook7.xlsx"/><Relationship Id="rId31" Type="http://schemas.openxmlformats.org/officeDocument/2006/relationships/image" Target="media/image20.jpeg"/><Relationship Id="rId30" Type="http://schemas.openxmlformats.org/officeDocument/2006/relationships/package" Target="embeddings/Workbook6.xlsx"/><Relationship Id="rId3" Type="http://schemas.openxmlformats.org/officeDocument/2006/relationships/header" Target="header1.xml"/><Relationship Id="rId29" Type="http://schemas.openxmlformats.org/officeDocument/2006/relationships/image" Target="media/image19.jpeg"/><Relationship Id="rId28" Type="http://schemas.openxmlformats.org/officeDocument/2006/relationships/package" Target="embeddings/Workbook5.xlsx"/><Relationship Id="rId27" Type="http://schemas.openxmlformats.org/officeDocument/2006/relationships/image" Target="media/image18.jpeg"/><Relationship Id="rId26" Type="http://schemas.openxmlformats.org/officeDocument/2006/relationships/package" Target="embeddings/Workbook4.xlsx"/><Relationship Id="rId25" Type="http://schemas.openxmlformats.org/officeDocument/2006/relationships/package" Target="embeddings/Workbook3.xlsx"/><Relationship Id="rId24" Type="http://schemas.openxmlformats.org/officeDocument/2006/relationships/image" Target="media/image17.jpeg"/><Relationship Id="rId23" Type="http://schemas.openxmlformats.org/officeDocument/2006/relationships/package" Target="embeddings/Workbook2.xlsx"/><Relationship Id="rId22" Type="http://schemas.openxmlformats.org/officeDocument/2006/relationships/image" Target="media/image16.jpeg"/><Relationship Id="rId21" Type="http://schemas.openxmlformats.org/officeDocument/2006/relationships/package" Target="embeddings/Workbook1.xlsx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26</Pages>
  <Words>7208</Words>
  <Characters>7376</Characters>
  <TotalTime>0</TotalTime>
  <ScaleCrop>false</ScaleCrop>
  <LinksUpToDate>false</LinksUpToDate>
  <CharactersWithSpaces>7381</CharactersWithSpaces>
  <Application>WPS Office_12.1.0.18240_F1E327BC-269C-435d-A152-05C5408002CA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2024-12-24T06:33:00Z</dcterms:created>
  <dc:creator>Apache POI</dc:creator>
  <cp:lastModifiedBy>付费上班打工人</cp:lastModifiedBy>
  <dcterms:modified xsi:type="dcterms:W3CDTF">2024-12-24T07:12:54Z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0F4634FF4C954E119155050AFB8851B5_12</vt:lpwstr>
  </property>
</Properties>
</file>