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黑体"/>
          <w:b/>
          <w:color w:val="000000"/>
          <w:sz w:val="36"/>
        </w:rPr>
        <w:t>MSA 测量系统分析管理系统 功能评审会议纪要</w:t>
      </w:r>
    </w:p>
    <w:p>
      <w:pPr>
        <w:spacing w:after="200" w:line="360" w:lineRule="auto"/>
      </w:pPr>
      <w:r>
        <w:rPr>
          <w:rFonts w:ascii="Arial" w:hAnsi="Arial" w:eastAsia="宋体"/>
          <w:b w:val="0"/>
          <w:color w:val="666666"/>
          <w:sz w:val="21"/>
        </w:rPr>
        <w:t>会议时间：2026年9月9日 16:42—17:54（约71分钟）｜会议方式：腾讯会议（会议号 6584744618）｜参会人员：时阳阳（业务与系统）、高国翔（需求对接）｜评审对象：MSA 测量系统分析管理系统（计量器具台账—MSA计划—台账—录入—分析 全链路）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一、会议结论摘要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本次会议对 MSA 系统进行了功能逻辑评审，确立以下总体方向：一是坚持“一量具一计划”的核心原则，一个量具对应一个主计划，一个主计划可按分析方法拆分为多个子任务（台账）；二是基础属性与业务逻辑分离，器具的分辨率、精度、复评周期等固有属性回归计量器具台账或独立基础设置页面维护，MSA 计划创建界面只保留业务性字段；三是测量人员选择后置，创建计划时不选人，待确定分析方法并生成台账后再按方法选人/选件；四是重构数据录入机制，按取样规则自动生成录入矩阵，支持动态增删行；五是新增样本库（标准件/生产件真值统一管理），录入界面严禁显示真值、上下限等干扰信息；六是明确权限分级（操作者仅录入、分析人全量）与手动分析机制；七是分析结果以动态图表为主，静态报告暂缓开发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二、主要决议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（一）基础数据与属性管理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1. 区划、工厂默认值。创建 MSA 计划时，质检区划（Qualzone）、工厂（Plant）直接取默认值自动带入，其中质检区划来自物料质检区划表（Material Qualzone），工厂来自资源区划表（Resource Zone）；分厂允许下拉选择（数据源表名待确认，转写口述为“plano”，待后端核实）。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2. 器具固有属性剥离。分辨率、精度、复评周期、提前提醒天数等字段从 MSA 计划创建界面移除，回归计量器具台账维护（器具的终身属性），或由计量器具台账侧单独做基础设置页；MSA 侧仅使用数据生成计划。分辨率是否已在计量器具台账中存在，需与刘克壮核实，有则带出，无则补充字段。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3. 测量人员后置。创建计划时无法预知分析项目，故不在创建界面选择测量人员；生成子任务（台账）后，按分析方法在台账内选人/选件（如 GR&amp;R 需多人、Cg/Cgk 一人重复测等）。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4. “观察员”更名为“分析人”。分析人定义为该计划的总负责人（大总管），用于后续任务分配与权限控制。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（二）MSA 计划创建与层级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5. 一量具一计划。创建时选择多个量具将生成多个主计划；每个主计划选择多个分析方法将生成多个子任务（台账），如 2 个量具 × 3 个分析方法 = 6 个子任务。父子关系必须可关联（台账中带主计划号，或主计划下挂台账字段）。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6. 层级展示方式。不再采用上下两个表格的嵌套（父子）展示（现场认为该交互已过时），改为主计划列表 + 点击“详情”查看子任务，子任务以卡片形式呈现，每个卡片显示各自的分析结论。【注：此条与当前系统的“上：MSA计划列表、下：当前计划分析单”双列表形式存在冲突，列为待确认项1】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7. 计划创建关键字段。必须包含：零件号（当前倾向一计划一零件，先按一个处理）、被测特性、特性级别（引用特殊特性清单中的代码标准）、分析人。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8. 删除与编辑控制。计划在“待开始”（尚未录入样本）状态下允许删除；一旦开始录入数据，仅允许修改基本信息，禁止修改量具和分析方法；如需调整，应在台账侧删除后重新创建。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9. 特性类型与级别。参照 SPC52 库中的“特殊特性清单”界面：特性类型区分为过程特性/产品特性并带等级代码，特性类别区分为计量型/技术型；规格公差应结构化拆分为标准值、上限、下限三个字段；特性应支持引用日志（该特性何时用哪台量具做了 MSA/SPC、结论如何），实现与 CP 的穿透追溯。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（三）检验标准与分析方法维护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10. 判定规则全局化。七大分析方法（GR&amp;R、KAPPA、线性/偏倚、稳定性、Cg/Cgk 等）各自的判定规则，统一在“分析方法维护”（方法维护）层维护，如 GR&amp;R 按 %GRR 10%/30% 结合 NDC≥5 判定，KAPPA 按 Kappa 阈值判定；检验标准不再逐条维护判定规则，避免维护量大且程序复杂。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11. 取样规则三级继承。第一级：分析方法维护中维护全局默认取样规则（如 GR&amp;R 10件×3人×3次）；第二级：检验标准维护中选择分析类型时自动带出默认取样参数，允许单独调整（如改为 5件×2人×3次）；第三级：创建 MSA 计划时再默认带出，创建后仍可微调。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12. 检验标准字段对齐。当前检验标准维护与老系统 MSA 检验标准（项目号、项目名、文件号、工序、检验标准方法、取样规则、测量次数、样本数量、分辨率等）基本一致，需两个界面取最大值合并优化，并与老系统核对。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（四）数据录入与样本管理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13. 录入操作动线。MSA 计划 → 选择子任务（台账）→ 在台账内先选人/选件（GR&amp;R、KAPPA 选人；线性/偏倚选标准件；稳定性选标准件＋固定操作员＋工位；Cg/Cgk 选件并对应一人）→ 进入录入。录入时人、件已带出，操作者只需填写实测值，测量时间以提交时间为准。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14. 录入矩阵动态生成。根据取样规则自动生成录入矩阵（如 10件×3人×3次 生成 90 行，行序为件号1-10、人员张三/李四/王五、每人 3 次）；支持加减号动态增删行（加一人自动补足其矩阵行数），支持调整参数后重新生成；未录入时可重新生成。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15. 录入界面信息约束。录入界面只展示矩阵及基础信息（零件号、零件名、工序、量具等），严禁显示真值、上下限、分辨率等可能干扰测量的信息；台账页面亦不显示真值。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16. 样本库。新建“样本库”页面，统一管理标准件与生产件的真值（实际值），一套页面、以样本类型区分即可；真值仅供后台分析（如偏倚计算）使用。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17. 权限分级。操作者（操作人）仅拥有数据录入权限，使用独立录入页面，不开放台账与真值权限；分析人拥有全量权限（台账、数据、分析结果）。台账中需体现操作者（多个），样本件不必在台账中列出，随录入记录体现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（五）分析结果与报告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18. 动态图表优先。分析结果以动态图表呈现（如 GR&amp;R 分析图，鼠标悬停显示数据点信息），静态报告（一页纸版式）暂缓开发，待 9 月底功能确认后再议。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19. 手动分析。系统不自动触发分析，需点击“分析”按钮手动执行，便于导入数据后先检查确认。</w:t>
      </w:r>
    </w:p>
    <w:p>
      <w:pPr>
        <w:spacing w:after="12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20. 数据导入。台账页面增加“导入”按钮，由分析人批量导入整理好的 Excel 实测数据；导入后先进入子页面预览确认数据无误，再手动执行分析。实测值允许修改（在原 Excel 修改后重新导入覆盖），分析结果不可修改。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三、下一步调整方案（落地改动点）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47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调整内容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对应决议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MSA 计划创建弹窗</w:t>
            </w:r>
          </w:p>
        </w:tc>
        <w:tc>
          <w:tcPr>
            <w:tcW w:type="dxa" w:w="476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删除分辨率、精度、复评周期、提前提醒、测量人员字段（改为从台账带出）；新增分析人、零件号、被测特性、特性级别；区划/工厂取默认值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决议 1、2、3、4、7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台账（子任务）层</w:t>
            </w:r>
          </w:p>
        </w:tc>
        <w:tc>
          <w:tcPr>
            <w:tcW w:type="dxa" w:w="476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按分析方法增加“选人/选件”入口；增加操作者、分析人字段；待开始可删除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决议 3、8、13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检验标准维护</w:t>
            </w:r>
          </w:p>
        </w:tc>
        <w:tc>
          <w:tcPr>
            <w:tcW w:type="dxa" w:w="476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与老系统检验标准字段对齐合并；删除逐条判定规则维护，改为引用分析方法维护的全局判定规则，取样参数按默认带出且可调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决议 10、11、12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分析方法维护</w:t>
            </w:r>
          </w:p>
        </w:tc>
        <w:tc>
          <w:tcPr>
            <w:tcW w:type="dxa" w:w="476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增加全局判定规则页签（七大方法各自判定准则）与全局默认取样规则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决议 10、11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数据录入页重构</w:t>
            </w:r>
          </w:p>
        </w:tc>
        <w:tc>
          <w:tcPr>
            <w:tcW w:type="dxa" w:w="476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按取样规则自动生成矩阵、加减号增删行、参数调整后重新生成；先选人/选件再进入；隐藏真值/上下限/分辨率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决议 13、14、15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样本管理 → 样本库</w:t>
            </w:r>
          </w:p>
        </w:tc>
        <w:tc>
          <w:tcPr>
            <w:tcW w:type="dxa" w:w="476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统一管理标准件/生产件真值（一套页面、类型区分）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决议 16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台账页</w:t>
            </w:r>
          </w:p>
        </w:tc>
        <w:tc>
          <w:tcPr>
            <w:tcW w:type="dxa" w:w="476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增加“导入”按钮与导入数据预览子页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决议 20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分析结果页</w:t>
            </w:r>
          </w:p>
        </w:tc>
        <w:tc>
          <w:tcPr>
            <w:tcW w:type="dxa" w:w="476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增加“手动分析”按钮；动态图表悬停查看数据点；静态报告暂缓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决议 18、19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计划层级交互</w:t>
            </w:r>
          </w:p>
        </w:tc>
        <w:tc>
          <w:tcPr>
            <w:tcW w:type="dxa" w:w="476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主计划列表 + 详情（抽屉/卡片）查看子任务及各子任务结论（形式待确认）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决议 6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权限控制</w:t>
            </w:r>
          </w:p>
        </w:tc>
        <w:tc>
          <w:tcPr>
            <w:tcW w:type="dxa" w:w="476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按角色控制页面与字段：操作者仅录入页，分析人全量（台账/结果/导入）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决议 17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四、需要进一步确认的待确认项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待确认项</w:t>
            </w:r>
          </w:p>
        </w:tc>
        <w:tc>
          <w:tcPr>
            <w:tcW w:type="dxa" w:w="5102"/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确认人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计划层级展示形式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会议建议弃用上下双列表，改为“详情+子任务卡片”；但当前系统按此前需求实现为“上：MSA计划列表、下：当前计划分析单”。以哪个为准？</w:t>
            </w:r>
          </w:p>
        </w:tc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高国翔、时阳阳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28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特性级别代码标准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特殊特性清单（SPC52 库）中特性类型/等级的具体代码标准（如 SC/CC/普通 或其它体系）需从该界面取得并确认；规格公差拆三字段后字段命名</w:t>
            </w:r>
          </w:p>
        </w:tc>
        <w:tc>
          <w:tcPr>
            <w:tcW w:type="dxa" w:w="1474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张涛（SPC52）、时阳阳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28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台账分辨率/精度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计量器具台账是否已有分辨率、精度字段（需与刘克壮确认）；无则新增，作为计划默认带出</w:t>
            </w:r>
          </w:p>
        </w:tc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刘克壮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28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检验标准合并范围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与老系统检验标准（项目号/项目名/文件号/工序/方法/取样规则/分辨率）合并时字段取舍</w:t>
            </w:r>
          </w:p>
        </w:tc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时阳阳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28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区划/工厂默认值来源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资源区划表、物料质检区划表的具体表名/字段（转写口述 Resource Zone / Material Qualzone / plant / plano）待后端确认</w:t>
            </w:r>
          </w:p>
        </w:tc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928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一计划多零件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一个 MSA 计划是否支持多个零件号：会议倾向“一计划一零件”，暂按一个处理</w:t>
            </w:r>
          </w:p>
        </w:tc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928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权限粒度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操作者是否完全无台账/分析结果权限；角色如何划分（分析人=计划大总管）</w:t>
            </w:r>
          </w:p>
        </w:tc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928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导入模板格式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分析人批量导入的 Excel 模板列结构需业务定义</w:t>
            </w:r>
          </w:p>
        </w:tc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</w:t>
            </w:r>
          </w:p>
        </w:tc>
      </w:tr>
      <w:tr>
        <w:tc>
          <w:tcPr>
            <w:tcW w:type="dxa" w:w="680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928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改数据留痕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允许修改实测值（重新导入覆盖），是否需留痕/审计日志</w:t>
            </w:r>
          </w:p>
        </w:tc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五、会议待办事项（来自智能纪要，负责人：高国翔）</w:t>
      </w:r>
    </w:p>
    <w:p>
      <w:pPr>
        <w:pStyle w:val="ListNumber"/>
        <w:spacing w:after="80"/>
      </w:pPr>
      <w:r>
        <w:rPr>
          <w:rFonts w:ascii="Arial" w:hAnsi="Arial" w:eastAsia="宋体"/>
          <w:b w:val="0"/>
          <w:color w:val="000000"/>
          <w:sz w:val="24"/>
        </w:rPr>
        <w:t>修改 MSA 计划创建页面：移除分辨率、精度等字段，改为从台账带出，并增加“分析人”字段；</w:t>
      </w:r>
    </w:p>
    <w:p>
      <w:pPr>
        <w:pStyle w:val="ListNumber"/>
        <w:spacing w:after="80"/>
      </w:pPr>
      <w:r>
        <w:rPr>
          <w:rFonts w:ascii="Arial" w:hAnsi="Arial" w:eastAsia="宋体"/>
          <w:b w:val="0"/>
          <w:color w:val="000000"/>
          <w:sz w:val="24"/>
        </w:rPr>
        <w:t>重构数据录入逻辑：根据取样规则自动生成矩阵，并增加“导入”和“手动分析”按钮；</w:t>
      </w:r>
    </w:p>
    <w:p>
      <w:pPr>
        <w:pStyle w:val="ListNumber"/>
        <w:spacing w:after="80"/>
      </w:pPr>
      <w:r>
        <w:rPr>
          <w:rFonts w:ascii="Arial" w:hAnsi="Arial" w:eastAsia="宋体"/>
          <w:b w:val="0"/>
          <w:color w:val="000000"/>
          <w:sz w:val="24"/>
        </w:rPr>
        <w:t>新建“样本库”页面，统一管理标准件与生产件的真值信息；</w:t>
      </w:r>
    </w:p>
    <w:p>
      <w:pPr>
        <w:pStyle w:val="ListNumber"/>
        <w:spacing w:after="80"/>
      </w:pPr>
      <w:r>
        <w:rPr>
          <w:rFonts w:ascii="Arial" w:hAnsi="Arial" w:eastAsia="宋体"/>
          <w:b w:val="0"/>
          <w:color w:val="000000"/>
          <w:sz w:val="24"/>
        </w:rPr>
        <w:t>梳理并优化系统操作动线（从计划创建到数据录入的完整流程）；</w:t>
      </w:r>
    </w:p>
    <w:p>
      <w:pPr>
        <w:pStyle w:val="ListNumber"/>
        <w:spacing w:after="80"/>
      </w:pPr>
      <w:r>
        <w:rPr>
          <w:rFonts w:ascii="Arial" w:hAnsi="Arial" w:eastAsia="宋体"/>
          <w:b w:val="0"/>
          <w:color w:val="000000"/>
          <w:sz w:val="24"/>
        </w:rPr>
        <w:t>确认“特殊特性清单”中特性级别的代码标准，并应用到系统中；</w:t>
      </w:r>
    </w:p>
    <w:p>
      <w:pPr>
        <w:pStyle w:val="ListNumber"/>
        <w:spacing w:after="80"/>
      </w:pPr>
      <w:r>
        <w:rPr>
          <w:rFonts w:ascii="Arial" w:hAnsi="Arial" w:eastAsia="宋体"/>
          <w:b w:val="0"/>
          <w:color w:val="000000"/>
          <w:sz w:val="24"/>
        </w:rPr>
        <w:t>检查并确认“检验标准维护”与“分析方法”之间的参数继承逻辑。</w:t>
      </w:r>
    </w:p>
    <w:p>
      <w:pPr>
        <w:spacing w:after="0" w:line="360" w:lineRule="auto"/>
      </w:pPr>
      <w:r>
        <w:rPr>
          <w:rFonts w:ascii="Arial" w:hAnsi="Arial" w:eastAsia="宋体"/>
          <w:b w:val="0"/>
          <w:color w:val="666666"/>
          <w:sz w:val="21"/>
        </w:rPr>
        <w:t>以上纪要依据会议智能纪要及完整文字转写（392 段）整理；转写中口语化、未定项均已标注“待确认”，未作臆断。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