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26F83" w14:textId="77777777" w:rsidR="008B2B0C" w:rsidRPr="008B2B0C" w:rsidRDefault="008B2B0C" w:rsidP="008B2B0C">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B2B0C">
        <w:rPr>
          <w:rFonts w:ascii="Times New Roman" w:eastAsia="Times New Roman" w:hAnsi="Times New Roman" w:cs="Times New Roman"/>
          <w:b/>
          <w:bCs/>
          <w:kern w:val="0"/>
          <w:sz w:val="36"/>
          <w:szCs w:val="36"/>
          <w:lang w:val="en-SE" w:eastAsia="en-SE"/>
          <w14:ligatures w14:val="none"/>
        </w:rPr>
        <w:t>CVE-2019-1388</w:t>
      </w:r>
    </w:p>
    <w:p w14:paraId="15ECDA7F"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hyperlink r:id="rId4" w:tgtFrame="_blank" w:history="1">
        <w:r w:rsidRPr="008B2B0C">
          <w:rPr>
            <w:rFonts w:ascii="Times New Roman" w:eastAsia="Times New Roman" w:hAnsi="Times New Roman" w:cs="Times New Roman"/>
            <w:color w:val="0000FF"/>
            <w:kern w:val="0"/>
            <w:sz w:val="24"/>
            <w:szCs w:val="24"/>
            <w:u w:val="single"/>
            <w:lang w:val="en-SE" w:eastAsia="en-SE"/>
            <w14:ligatures w14:val="none"/>
          </w:rPr>
          <w:t>CVE-2019-1388</w:t>
        </w:r>
      </w:hyperlink>
      <w:r w:rsidRPr="008B2B0C">
        <w:rPr>
          <w:rFonts w:ascii="Times New Roman" w:eastAsia="Times New Roman" w:hAnsi="Times New Roman" w:cs="Times New Roman"/>
          <w:kern w:val="0"/>
          <w:sz w:val="24"/>
          <w:szCs w:val="24"/>
          <w:lang w:val="en-SE" w:eastAsia="en-SE"/>
          <w14:ligatures w14:val="none"/>
        </w:rPr>
        <w:t xml:space="preserve"> was a privilege escalation vulnerability in the Windows Certificate Dialog, which did not properly enforce user privileges. The issue was in the UAC mechanism, which presented an option to show information about an executable's certificate, opening the Windows certificate dialog when a user clicks the link. The </w:t>
      </w:r>
      <w:r w:rsidRPr="008B2B0C">
        <w:rPr>
          <w:rFonts w:ascii="Courier New" w:eastAsia="Times New Roman" w:hAnsi="Courier New" w:cs="Courier New"/>
          <w:kern w:val="0"/>
          <w:sz w:val="20"/>
          <w:szCs w:val="20"/>
          <w:lang w:val="en-SE" w:eastAsia="en-SE"/>
          <w14:ligatures w14:val="none"/>
        </w:rPr>
        <w:t>Issued By</w:t>
      </w:r>
      <w:r w:rsidRPr="008B2B0C">
        <w:rPr>
          <w:rFonts w:ascii="Times New Roman" w:eastAsia="Times New Roman" w:hAnsi="Times New Roman" w:cs="Times New Roman"/>
          <w:kern w:val="0"/>
          <w:sz w:val="24"/>
          <w:szCs w:val="24"/>
          <w:lang w:val="en-SE" w:eastAsia="en-SE"/>
          <w14:ligatures w14:val="none"/>
        </w:rPr>
        <w:t xml:space="preserve"> field in the General tab is rendered as a hyperlink if the binary is signed with a certificate that has Object Identifier (OID) </w:t>
      </w:r>
      <w:r w:rsidRPr="008B2B0C">
        <w:rPr>
          <w:rFonts w:ascii="Courier New" w:eastAsia="Times New Roman" w:hAnsi="Courier New" w:cs="Courier New"/>
          <w:kern w:val="0"/>
          <w:sz w:val="20"/>
          <w:szCs w:val="20"/>
          <w:lang w:val="en-SE" w:eastAsia="en-SE"/>
          <w14:ligatures w14:val="none"/>
        </w:rPr>
        <w:t>1.3.6.1.4.1.311.2.1.10</w:t>
      </w:r>
      <w:r w:rsidRPr="008B2B0C">
        <w:rPr>
          <w:rFonts w:ascii="Times New Roman" w:eastAsia="Times New Roman" w:hAnsi="Times New Roman" w:cs="Times New Roman"/>
          <w:kern w:val="0"/>
          <w:sz w:val="24"/>
          <w:szCs w:val="24"/>
          <w:lang w:val="en-SE" w:eastAsia="en-SE"/>
          <w14:ligatures w14:val="none"/>
        </w:rPr>
        <w:t xml:space="preserve">. This OID value is identified in the </w:t>
      </w:r>
      <w:hyperlink r:id="rId5" w:tgtFrame="_blank" w:history="1">
        <w:proofErr w:type="spellStart"/>
        <w:r w:rsidRPr="008B2B0C">
          <w:rPr>
            <w:rFonts w:ascii="Times New Roman" w:eastAsia="Times New Roman" w:hAnsi="Times New Roman" w:cs="Times New Roman"/>
            <w:color w:val="0000FF"/>
            <w:kern w:val="0"/>
            <w:sz w:val="24"/>
            <w:szCs w:val="24"/>
            <w:u w:val="single"/>
            <w:lang w:val="en-SE" w:eastAsia="en-SE"/>
            <w14:ligatures w14:val="none"/>
          </w:rPr>
          <w:t>wintrust.h</w:t>
        </w:r>
        <w:proofErr w:type="spellEnd"/>
      </w:hyperlink>
      <w:r w:rsidRPr="008B2B0C">
        <w:rPr>
          <w:rFonts w:ascii="Times New Roman" w:eastAsia="Times New Roman" w:hAnsi="Times New Roman" w:cs="Times New Roman"/>
          <w:kern w:val="0"/>
          <w:sz w:val="24"/>
          <w:szCs w:val="24"/>
          <w:lang w:val="en-SE" w:eastAsia="en-SE"/>
          <w14:ligatures w14:val="none"/>
        </w:rPr>
        <w:t xml:space="preserve"> header as </w:t>
      </w:r>
      <w:hyperlink r:id="rId6" w:tgtFrame="_blank" w:history="1">
        <w:r w:rsidRPr="008B2B0C">
          <w:rPr>
            <w:rFonts w:ascii="Times New Roman" w:eastAsia="Times New Roman" w:hAnsi="Times New Roman" w:cs="Times New Roman"/>
            <w:color w:val="0000FF"/>
            <w:kern w:val="0"/>
            <w:sz w:val="24"/>
            <w:szCs w:val="24"/>
            <w:u w:val="single"/>
            <w:lang w:val="en-SE" w:eastAsia="en-SE"/>
            <w14:ligatures w14:val="none"/>
          </w:rPr>
          <w:t>SPC_SP_AGENCY_INFO_OBJID</w:t>
        </w:r>
      </w:hyperlink>
      <w:r w:rsidRPr="008B2B0C">
        <w:rPr>
          <w:rFonts w:ascii="Times New Roman" w:eastAsia="Times New Roman" w:hAnsi="Times New Roman" w:cs="Times New Roman"/>
          <w:kern w:val="0"/>
          <w:sz w:val="24"/>
          <w:szCs w:val="24"/>
          <w:lang w:val="en-SE" w:eastAsia="en-SE"/>
          <w14:ligatures w14:val="none"/>
        </w:rPr>
        <w:t xml:space="preserve"> which is the </w:t>
      </w:r>
      <w:proofErr w:type="spellStart"/>
      <w:r w:rsidRPr="008B2B0C">
        <w:rPr>
          <w:rFonts w:ascii="Courier New" w:eastAsia="Times New Roman" w:hAnsi="Courier New" w:cs="Courier New"/>
          <w:kern w:val="0"/>
          <w:sz w:val="20"/>
          <w:szCs w:val="20"/>
          <w:lang w:val="en-SE" w:eastAsia="en-SE"/>
          <w14:ligatures w14:val="none"/>
        </w:rPr>
        <w:t>SpcSpAgencyInfo</w:t>
      </w:r>
      <w:proofErr w:type="spellEnd"/>
      <w:r w:rsidRPr="008B2B0C">
        <w:rPr>
          <w:rFonts w:ascii="Times New Roman" w:eastAsia="Times New Roman" w:hAnsi="Times New Roman" w:cs="Times New Roman"/>
          <w:kern w:val="0"/>
          <w:sz w:val="24"/>
          <w:szCs w:val="24"/>
          <w:lang w:val="en-SE" w:eastAsia="en-SE"/>
          <w14:ligatures w14:val="none"/>
        </w:rPr>
        <w:t xml:space="preserve"> field in the details tab of the certificate dialog. If it is present, a hyperlink included in the field will render in the General tab. This vulnerability can be exploited easily using an old Microsoft-signed executable (</w:t>
      </w:r>
      <w:hyperlink r:id="rId7" w:tgtFrame="_blank" w:history="1">
        <w:r w:rsidRPr="008B2B0C">
          <w:rPr>
            <w:rFonts w:ascii="Times New Roman" w:eastAsia="Times New Roman" w:hAnsi="Times New Roman" w:cs="Times New Roman"/>
            <w:color w:val="0000FF"/>
            <w:kern w:val="0"/>
            <w:sz w:val="24"/>
            <w:szCs w:val="24"/>
            <w:u w:val="single"/>
            <w:lang w:val="en-SE" w:eastAsia="en-SE"/>
            <w14:ligatures w14:val="none"/>
          </w:rPr>
          <w:t>hhupd.exe</w:t>
        </w:r>
      </w:hyperlink>
      <w:r w:rsidRPr="008B2B0C">
        <w:rPr>
          <w:rFonts w:ascii="Times New Roman" w:eastAsia="Times New Roman" w:hAnsi="Times New Roman" w:cs="Times New Roman"/>
          <w:kern w:val="0"/>
          <w:sz w:val="24"/>
          <w:szCs w:val="24"/>
          <w:lang w:val="en-SE" w:eastAsia="en-SE"/>
          <w14:ligatures w14:val="none"/>
        </w:rPr>
        <w:t xml:space="preserve">) that contains a certificate with the </w:t>
      </w:r>
      <w:proofErr w:type="spellStart"/>
      <w:r w:rsidRPr="008B2B0C">
        <w:rPr>
          <w:rFonts w:ascii="Courier New" w:eastAsia="Times New Roman" w:hAnsi="Courier New" w:cs="Courier New"/>
          <w:kern w:val="0"/>
          <w:sz w:val="20"/>
          <w:szCs w:val="20"/>
          <w:lang w:val="en-SE" w:eastAsia="en-SE"/>
          <w14:ligatures w14:val="none"/>
        </w:rPr>
        <w:t>SpcSpAgencyInfo</w:t>
      </w:r>
      <w:proofErr w:type="spellEnd"/>
      <w:r w:rsidRPr="008B2B0C">
        <w:rPr>
          <w:rFonts w:ascii="Times New Roman" w:eastAsia="Times New Roman" w:hAnsi="Times New Roman" w:cs="Times New Roman"/>
          <w:kern w:val="0"/>
          <w:sz w:val="24"/>
          <w:szCs w:val="24"/>
          <w:lang w:val="en-SE" w:eastAsia="en-SE"/>
          <w14:ligatures w14:val="none"/>
        </w:rPr>
        <w:t xml:space="preserve"> field populated with a hyperlink.</w:t>
      </w:r>
    </w:p>
    <w:p w14:paraId="3A86EED0"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When we click on the hyperlink, a browser window will launch running as </w:t>
      </w:r>
      <w:r w:rsidRPr="008B2B0C">
        <w:rPr>
          <w:rFonts w:ascii="Courier New" w:eastAsia="Times New Roman" w:hAnsi="Courier New" w:cs="Courier New"/>
          <w:kern w:val="0"/>
          <w:sz w:val="20"/>
          <w:szCs w:val="20"/>
          <w:lang w:val="en-SE" w:eastAsia="en-SE"/>
          <w14:ligatures w14:val="none"/>
        </w:rPr>
        <w:t>NT AUTHORITY\SYSTEM</w:t>
      </w:r>
      <w:r w:rsidRPr="008B2B0C">
        <w:rPr>
          <w:rFonts w:ascii="Times New Roman" w:eastAsia="Times New Roman" w:hAnsi="Times New Roman" w:cs="Times New Roman"/>
          <w:kern w:val="0"/>
          <w:sz w:val="24"/>
          <w:szCs w:val="24"/>
          <w:lang w:val="en-SE" w:eastAsia="en-SE"/>
          <w14:ligatures w14:val="none"/>
        </w:rPr>
        <w:t xml:space="preserve">. Once the browser is opened, it is possible to "break out" of it by leveraging the </w:t>
      </w:r>
      <w:r w:rsidRPr="008B2B0C">
        <w:rPr>
          <w:rFonts w:ascii="Courier New" w:eastAsia="Times New Roman" w:hAnsi="Courier New" w:cs="Courier New"/>
          <w:kern w:val="0"/>
          <w:sz w:val="20"/>
          <w:szCs w:val="20"/>
          <w:lang w:val="en-SE" w:eastAsia="en-SE"/>
          <w14:ligatures w14:val="none"/>
        </w:rPr>
        <w:t>View page source</w:t>
      </w:r>
      <w:r w:rsidRPr="008B2B0C">
        <w:rPr>
          <w:rFonts w:ascii="Times New Roman" w:eastAsia="Times New Roman" w:hAnsi="Times New Roman" w:cs="Times New Roman"/>
          <w:kern w:val="0"/>
          <w:sz w:val="24"/>
          <w:szCs w:val="24"/>
          <w:lang w:val="en-SE" w:eastAsia="en-SE"/>
          <w14:ligatures w14:val="none"/>
        </w:rPr>
        <w:t xml:space="preserve"> menu option to launch a </w:t>
      </w:r>
      <w:r w:rsidRPr="008B2B0C">
        <w:rPr>
          <w:rFonts w:ascii="Courier New" w:eastAsia="Times New Roman" w:hAnsi="Courier New" w:cs="Courier New"/>
          <w:kern w:val="0"/>
          <w:sz w:val="20"/>
          <w:szCs w:val="20"/>
          <w:lang w:val="en-SE" w:eastAsia="en-SE"/>
          <w14:ligatures w14:val="none"/>
        </w:rPr>
        <w:t>cmd.exe</w:t>
      </w:r>
      <w:r w:rsidRPr="008B2B0C">
        <w:rPr>
          <w:rFonts w:ascii="Times New Roman" w:eastAsia="Times New Roman" w:hAnsi="Times New Roman" w:cs="Times New Roman"/>
          <w:kern w:val="0"/>
          <w:sz w:val="24"/>
          <w:szCs w:val="24"/>
          <w:lang w:val="en-SE" w:eastAsia="en-SE"/>
          <w14:ligatures w14:val="none"/>
        </w:rPr>
        <w:t xml:space="preserve"> or </w:t>
      </w:r>
      <w:r w:rsidRPr="008B2B0C">
        <w:rPr>
          <w:rFonts w:ascii="Courier New" w:eastAsia="Times New Roman" w:hAnsi="Courier New" w:cs="Courier New"/>
          <w:kern w:val="0"/>
          <w:sz w:val="20"/>
          <w:szCs w:val="20"/>
          <w:lang w:val="en-SE" w:eastAsia="en-SE"/>
          <w14:ligatures w14:val="none"/>
        </w:rPr>
        <w:t>PowerShell.exe</w:t>
      </w:r>
      <w:r w:rsidRPr="008B2B0C">
        <w:rPr>
          <w:rFonts w:ascii="Times New Roman" w:eastAsia="Times New Roman" w:hAnsi="Times New Roman" w:cs="Times New Roman"/>
          <w:kern w:val="0"/>
          <w:sz w:val="24"/>
          <w:szCs w:val="24"/>
          <w:lang w:val="en-SE" w:eastAsia="en-SE"/>
          <w14:ligatures w14:val="none"/>
        </w:rPr>
        <w:t xml:space="preserve"> console as SYSTEM.</w:t>
      </w:r>
    </w:p>
    <w:p w14:paraId="65846FA3"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Let's run through the vulnerability in practice.</w:t>
      </w:r>
    </w:p>
    <w:p w14:paraId="24BBA465"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First right click on the </w:t>
      </w:r>
      <w:r w:rsidRPr="008B2B0C">
        <w:rPr>
          <w:rFonts w:ascii="Courier New" w:eastAsia="Times New Roman" w:hAnsi="Courier New" w:cs="Courier New"/>
          <w:kern w:val="0"/>
          <w:sz w:val="20"/>
          <w:szCs w:val="20"/>
          <w:lang w:val="en-SE" w:eastAsia="en-SE"/>
          <w14:ligatures w14:val="none"/>
        </w:rPr>
        <w:t>hhupd.exe</w:t>
      </w:r>
      <w:r w:rsidRPr="008B2B0C">
        <w:rPr>
          <w:rFonts w:ascii="Times New Roman" w:eastAsia="Times New Roman" w:hAnsi="Times New Roman" w:cs="Times New Roman"/>
          <w:kern w:val="0"/>
          <w:sz w:val="24"/>
          <w:szCs w:val="24"/>
          <w:lang w:val="en-SE" w:eastAsia="en-SE"/>
          <w14:ligatures w14:val="none"/>
        </w:rPr>
        <w:t xml:space="preserve"> executable and select </w:t>
      </w:r>
      <w:r w:rsidRPr="008B2B0C">
        <w:rPr>
          <w:rFonts w:ascii="Courier New" w:eastAsia="Times New Roman" w:hAnsi="Courier New" w:cs="Courier New"/>
          <w:kern w:val="0"/>
          <w:sz w:val="20"/>
          <w:szCs w:val="20"/>
          <w:lang w:val="en-SE" w:eastAsia="en-SE"/>
          <w14:ligatures w14:val="none"/>
        </w:rPr>
        <w:t>Run as administrator</w:t>
      </w:r>
      <w:r w:rsidRPr="008B2B0C">
        <w:rPr>
          <w:rFonts w:ascii="Times New Roman" w:eastAsia="Times New Roman" w:hAnsi="Times New Roman" w:cs="Times New Roman"/>
          <w:kern w:val="0"/>
          <w:sz w:val="24"/>
          <w:szCs w:val="24"/>
          <w:lang w:val="en-SE" w:eastAsia="en-SE"/>
          <w14:ligatures w14:val="none"/>
        </w:rPr>
        <w:t xml:space="preserve"> from the menu.</w:t>
      </w:r>
    </w:p>
    <w:p w14:paraId="4D9E8AE9" w14:textId="12BACE4D"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noProof/>
          <w:kern w:val="0"/>
          <w:sz w:val="24"/>
          <w:szCs w:val="24"/>
          <w:lang w:val="en-SE" w:eastAsia="en-SE"/>
          <w14:ligatures w14:val="none"/>
        </w:rPr>
        <w:drawing>
          <wp:inline distT="0" distB="0" distL="0" distR="0" wp14:anchorId="3F8A4966" wp14:editId="26AB3FC9">
            <wp:extent cx="5731510" cy="2653030"/>
            <wp:effectExtent l="0" t="0" r="2540" b="0"/>
            <wp:docPr id="143406370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5643ECC7"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Next, click on </w:t>
      </w:r>
      <w:r w:rsidRPr="008B2B0C">
        <w:rPr>
          <w:rFonts w:ascii="Courier New" w:eastAsia="Times New Roman" w:hAnsi="Courier New" w:cs="Courier New"/>
          <w:kern w:val="0"/>
          <w:sz w:val="20"/>
          <w:szCs w:val="20"/>
          <w:lang w:val="en-SE" w:eastAsia="en-SE"/>
          <w14:ligatures w14:val="none"/>
        </w:rPr>
        <w:t>Show information about the publisher's certificate</w:t>
      </w:r>
      <w:r w:rsidRPr="008B2B0C">
        <w:rPr>
          <w:rFonts w:ascii="Times New Roman" w:eastAsia="Times New Roman" w:hAnsi="Times New Roman" w:cs="Times New Roman"/>
          <w:kern w:val="0"/>
          <w:sz w:val="24"/>
          <w:szCs w:val="24"/>
          <w:lang w:val="en-SE" w:eastAsia="en-SE"/>
          <w14:ligatures w14:val="none"/>
        </w:rPr>
        <w:t xml:space="preserve"> to open the certificate dialog. Here we can see that the </w:t>
      </w:r>
      <w:proofErr w:type="spellStart"/>
      <w:r w:rsidRPr="008B2B0C">
        <w:rPr>
          <w:rFonts w:ascii="Courier New" w:eastAsia="Times New Roman" w:hAnsi="Courier New" w:cs="Courier New"/>
          <w:kern w:val="0"/>
          <w:sz w:val="20"/>
          <w:szCs w:val="20"/>
          <w:lang w:val="en-SE" w:eastAsia="en-SE"/>
          <w14:ligatures w14:val="none"/>
        </w:rPr>
        <w:t>SpcSpAgencyInfo</w:t>
      </w:r>
      <w:proofErr w:type="spellEnd"/>
      <w:r w:rsidRPr="008B2B0C">
        <w:rPr>
          <w:rFonts w:ascii="Times New Roman" w:eastAsia="Times New Roman" w:hAnsi="Times New Roman" w:cs="Times New Roman"/>
          <w:kern w:val="0"/>
          <w:sz w:val="24"/>
          <w:szCs w:val="24"/>
          <w:lang w:val="en-SE" w:eastAsia="en-SE"/>
          <w14:ligatures w14:val="none"/>
        </w:rPr>
        <w:t xml:space="preserve"> field is populated in the Details tab.</w:t>
      </w:r>
    </w:p>
    <w:p w14:paraId="06DF69DC" w14:textId="543021D8"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372EB5E8" wp14:editId="2BEA3CED">
            <wp:extent cx="5731510" cy="2682875"/>
            <wp:effectExtent l="0" t="0" r="2540" b="3175"/>
            <wp:docPr id="69372374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82875"/>
                    </a:xfrm>
                    <a:prstGeom prst="rect">
                      <a:avLst/>
                    </a:prstGeom>
                    <a:noFill/>
                    <a:ln>
                      <a:noFill/>
                    </a:ln>
                  </pic:spPr>
                </pic:pic>
              </a:graphicData>
            </a:graphic>
          </wp:inline>
        </w:drawing>
      </w:r>
    </w:p>
    <w:p w14:paraId="43ECCF0D"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Next, we go back to the General tab and see that the </w:t>
      </w:r>
      <w:r w:rsidRPr="008B2B0C">
        <w:rPr>
          <w:rFonts w:ascii="Courier New" w:eastAsia="Times New Roman" w:hAnsi="Courier New" w:cs="Courier New"/>
          <w:kern w:val="0"/>
          <w:sz w:val="20"/>
          <w:szCs w:val="20"/>
          <w:lang w:val="en-SE" w:eastAsia="en-SE"/>
          <w14:ligatures w14:val="none"/>
        </w:rPr>
        <w:t>Issued by</w:t>
      </w:r>
      <w:r w:rsidRPr="008B2B0C">
        <w:rPr>
          <w:rFonts w:ascii="Times New Roman" w:eastAsia="Times New Roman" w:hAnsi="Times New Roman" w:cs="Times New Roman"/>
          <w:kern w:val="0"/>
          <w:sz w:val="24"/>
          <w:szCs w:val="24"/>
          <w:lang w:val="en-SE" w:eastAsia="en-SE"/>
          <w14:ligatures w14:val="none"/>
        </w:rPr>
        <w:t xml:space="preserve"> field is populated with a hyperlink. Click on it and then click </w:t>
      </w:r>
      <w:r w:rsidRPr="008B2B0C">
        <w:rPr>
          <w:rFonts w:ascii="Courier New" w:eastAsia="Times New Roman" w:hAnsi="Courier New" w:cs="Courier New"/>
          <w:kern w:val="0"/>
          <w:sz w:val="20"/>
          <w:szCs w:val="20"/>
          <w:lang w:val="en-SE" w:eastAsia="en-SE"/>
          <w14:ligatures w14:val="none"/>
        </w:rPr>
        <w:t>OK</w:t>
      </w:r>
      <w:r w:rsidRPr="008B2B0C">
        <w:rPr>
          <w:rFonts w:ascii="Times New Roman" w:eastAsia="Times New Roman" w:hAnsi="Times New Roman" w:cs="Times New Roman"/>
          <w:kern w:val="0"/>
          <w:sz w:val="24"/>
          <w:szCs w:val="24"/>
          <w:lang w:val="en-SE" w:eastAsia="en-SE"/>
          <w14:ligatures w14:val="none"/>
        </w:rPr>
        <w:t>, and the certificate dialog will close, and a browser window will launch.</w:t>
      </w:r>
    </w:p>
    <w:p w14:paraId="6ECFED0D" w14:textId="4F67F2D0"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noProof/>
          <w:kern w:val="0"/>
          <w:sz w:val="24"/>
          <w:szCs w:val="24"/>
          <w:lang w:val="en-SE" w:eastAsia="en-SE"/>
          <w14:ligatures w14:val="none"/>
        </w:rPr>
        <w:drawing>
          <wp:inline distT="0" distB="0" distL="0" distR="0" wp14:anchorId="160555AF" wp14:editId="7348EAE3">
            <wp:extent cx="5731510" cy="2658110"/>
            <wp:effectExtent l="0" t="0" r="2540" b="8890"/>
            <wp:docPr id="81247937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39C608EE"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If we open </w:t>
      </w:r>
      <w:r w:rsidRPr="008B2B0C">
        <w:rPr>
          <w:rFonts w:ascii="Courier New" w:eastAsia="Times New Roman" w:hAnsi="Courier New" w:cs="Courier New"/>
          <w:kern w:val="0"/>
          <w:sz w:val="20"/>
          <w:szCs w:val="20"/>
          <w:lang w:val="en-SE" w:eastAsia="en-SE"/>
          <w14:ligatures w14:val="none"/>
        </w:rPr>
        <w:t>Task Manager</w:t>
      </w:r>
      <w:r w:rsidRPr="008B2B0C">
        <w:rPr>
          <w:rFonts w:ascii="Times New Roman" w:eastAsia="Times New Roman" w:hAnsi="Times New Roman" w:cs="Times New Roman"/>
          <w:kern w:val="0"/>
          <w:sz w:val="24"/>
          <w:szCs w:val="24"/>
          <w:lang w:val="en-SE" w:eastAsia="en-SE"/>
          <w14:ligatures w14:val="none"/>
        </w:rPr>
        <w:t>, we will see that the browser instance was launched as SYSTEM.</w:t>
      </w:r>
    </w:p>
    <w:p w14:paraId="7D515A04" w14:textId="63A7E1B1"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65B4CA3A" wp14:editId="139559EF">
            <wp:extent cx="5731510" cy="2841625"/>
            <wp:effectExtent l="0" t="0" r="2540" b="0"/>
            <wp:docPr id="188348139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34F73733"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Next, we can right-click anywhere on the web page and choose </w:t>
      </w:r>
      <w:r w:rsidRPr="008B2B0C">
        <w:rPr>
          <w:rFonts w:ascii="Courier New" w:eastAsia="Times New Roman" w:hAnsi="Courier New" w:cs="Courier New"/>
          <w:kern w:val="0"/>
          <w:sz w:val="20"/>
          <w:szCs w:val="20"/>
          <w:lang w:val="en-SE" w:eastAsia="en-SE"/>
          <w14:ligatures w14:val="none"/>
        </w:rPr>
        <w:t>View page source</w:t>
      </w:r>
      <w:r w:rsidRPr="008B2B0C">
        <w:rPr>
          <w:rFonts w:ascii="Times New Roman" w:eastAsia="Times New Roman" w:hAnsi="Times New Roman" w:cs="Times New Roman"/>
          <w:kern w:val="0"/>
          <w:sz w:val="24"/>
          <w:szCs w:val="24"/>
          <w:lang w:val="en-SE" w:eastAsia="en-SE"/>
          <w14:ligatures w14:val="none"/>
        </w:rPr>
        <w:t xml:space="preserve">. Once the page source opens in another tab, right-click again and select </w:t>
      </w:r>
      <w:r w:rsidRPr="008B2B0C">
        <w:rPr>
          <w:rFonts w:ascii="Courier New" w:eastAsia="Times New Roman" w:hAnsi="Courier New" w:cs="Courier New"/>
          <w:kern w:val="0"/>
          <w:sz w:val="20"/>
          <w:szCs w:val="20"/>
          <w:lang w:val="en-SE" w:eastAsia="en-SE"/>
          <w14:ligatures w14:val="none"/>
        </w:rPr>
        <w:t>Save as</w:t>
      </w:r>
      <w:r w:rsidRPr="008B2B0C">
        <w:rPr>
          <w:rFonts w:ascii="Times New Roman" w:eastAsia="Times New Roman" w:hAnsi="Times New Roman" w:cs="Times New Roman"/>
          <w:kern w:val="0"/>
          <w:sz w:val="24"/>
          <w:szCs w:val="24"/>
          <w:lang w:val="en-SE" w:eastAsia="en-SE"/>
          <w14:ligatures w14:val="none"/>
        </w:rPr>
        <w:t xml:space="preserve">, and a </w:t>
      </w:r>
      <w:r w:rsidRPr="008B2B0C">
        <w:rPr>
          <w:rFonts w:ascii="Courier New" w:eastAsia="Times New Roman" w:hAnsi="Courier New" w:cs="Courier New"/>
          <w:kern w:val="0"/>
          <w:sz w:val="20"/>
          <w:szCs w:val="20"/>
          <w:lang w:val="en-SE" w:eastAsia="en-SE"/>
          <w14:ligatures w14:val="none"/>
        </w:rPr>
        <w:t>Save As</w:t>
      </w:r>
      <w:r w:rsidRPr="008B2B0C">
        <w:rPr>
          <w:rFonts w:ascii="Times New Roman" w:eastAsia="Times New Roman" w:hAnsi="Times New Roman" w:cs="Times New Roman"/>
          <w:kern w:val="0"/>
          <w:sz w:val="24"/>
          <w:szCs w:val="24"/>
          <w:lang w:val="en-SE" w:eastAsia="en-SE"/>
          <w14:ligatures w14:val="none"/>
        </w:rPr>
        <w:t xml:space="preserve"> dialog box will open.</w:t>
      </w:r>
    </w:p>
    <w:p w14:paraId="0B0D812A" w14:textId="61C83DE3"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noProof/>
          <w:kern w:val="0"/>
          <w:sz w:val="24"/>
          <w:szCs w:val="24"/>
          <w:lang w:val="en-SE" w:eastAsia="en-SE"/>
          <w14:ligatures w14:val="none"/>
        </w:rPr>
        <w:drawing>
          <wp:inline distT="0" distB="0" distL="0" distR="0" wp14:anchorId="63BF00FD" wp14:editId="41BF4509">
            <wp:extent cx="5731510" cy="3006090"/>
            <wp:effectExtent l="0" t="0" r="2540" b="3810"/>
            <wp:docPr id="204906062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2020CF5F"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At this point, we can launch any program we would like as SYSTEM. Type </w:t>
      </w:r>
      <w:r w:rsidRPr="008B2B0C">
        <w:rPr>
          <w:rFonts w:ascii="Courier New" w:eastAsia="Times New Roman" w:hAnsi="Courier New" w:cs="Courier New"/>
          <w:kern w:val="0"/>
          <w:sz w:val="20"/>
          <w:szCs w:val="20"/>
          <w:lang w:val="en-SE" w:eastAsia="en-SE"/>
          <w14:ligatures w14:val="none"/>
        </w:rPr>
        <w:t>c:\windows\system32\cmd.exe</w:t>
      </w:r>
      <w:r w:rsidRPr="008B2B0C">
        <w:rPr>
          <w:rFonts w:ascii="Times New Roman" w:eastAsia="Times New Roman" w:hAnsi="Times New Roman" w:cs="Times New Roman"/>
          <w:kern w:val="0"/>
          <w:sz w:val="24"/>
          <w:szCs w:val="24"/>
          <w:lang w:val="en-SE" w:eastAsia="en-SE"/>
          <w14:ligatures w14:val="none"/>
        </w:rPr>
        <w:t xml:space="preserve"> in the file path and hit enter. If all goes to plan, we will have a cmd.exe instance running as SYSTEM.</w:t>
      </w:r>
    </w:p>
    <w:p w14:paraId="25C0424F" w14:textId="6B4C23C4"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3195D5A9" wp14:editId="5730196C">
            <wp:extent cx="5731510" cy="2510155"/>
            <wp:effectExtent l="0" t="0" r="2540" b="4445"/>
            <wp:docPr id="57352042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14:paraId="5BBC9F86"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Microsoft released a </w:t>
      </w:r>
      <w:hyperlink r:id="rId14" w:tgtFrame="_blank" w:history="1">
        <w:r w:rsidRPr="008B2B0C">
          <w:rPr>
            <w:rFonts w:ascii="Times New Roman" w:eastAsia="Times New Roman" w:hAnsi="Times New Roman" w:cs="Times New Roman"/>
            <w:color w:val="0000FF"/>
            <w:kern w:val="0"/>
            <w:sz w:val="24"/>
            <w:szCs w:val="24"/>
            <w:u w:val="single"/>
            <w:lang w:val="en-SE" w:eastAsia="en-SE"/>
            <w14:ligatures w14:val="none"/>
          </w:rPr>
          <w:t>patch</w:t>
        </w:r>
      </w:hyperlink>
      <w:r w:rsidRPr="008B2B0C">
        <w:rPr>
          <w:rFonts w:ascii="Times New Roman" w:eastAsia="Times New Roman" w:hAnsi="Times New Roman" w:cs="Times New Roman"/>
          <w:kern w:val="0"/>
          <w:sz w:val="24"/>
          <w:szCs w:val="24"/>
          <w:lang w:val="en-SE" w:eastAsia="en-SE"/>
          <w14:ligatures w14:val="none"/>
        </w:rPr>
        <w:t xml:space="preserve"> for this issue in November of 2019. Still, as many organizations fall behind on patching, we should always check for this vulnerability if we gain GUI access to a potentially vulnerable system as a low-privilege user.</w:t>
      </w:r>
    </w:p>
    <w:p w14:paraId="6E40B4D0"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 xml:space="preserve">This </w:t>
      </w:r>
      <w:hyperlink r:id="rId15" w:tgtFrame="_blank" w:history="1">
        <w:r w:rsidRPr="008B2B0C">
          <w:rPr>
            <w:rFonts w:ascii="Times New Roman" w:eastAsia="Times New Roman" w:hAnsi="Times New Roman" w:cs="Times New Roman"/>
            <w:color w:val="0000FF"/>
            <w:kern w:val="0"/>
            <w:sz w:val="24"/>
            <w:szCs w:val="24"/>
            <w:u w:val="single"/>
            <w:lang w:val="en-SE" w:eastAsia="en-SE"/>
            <w14:ligatures w14:val="none"/>
          </w:rPr>
          <w:t>link</w:t>
        </w:r>
      </w:hyperlink>
      <w:r w:rsidRPr="008B2B0C">
        <w:rPr>
          <w:rFonts w:ascii="Times New Roman" w:eastAsia="Times New Roman" w:hAnsi="Times New Roman" w:cs="Times New Roman"/>
          <w:kern w:val="0"/>
          <w:sz w:val="24"/>
          <w:szCs w:val="24"/>
          <w:lang w:val="en-SE" w:eastAsia="en-SE"/>
          <w14:ligatures w14:val="none"/>
        </w:rPr>
        <w:t xml:space="preserve"> lists all of the vulnerable Windows Server and Workstation versions.</w:t>
      </w:r>
    </w:p>
    <w:p w14:paraId="4365874C" w14:textId="77777777" w:rsidR="008B2B0C" w:rsidRPr="008B2B0C" w:rsidRDefault="008B2B0C" w:rsidP="008B2B0C">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B2B0C">
        <w:rPr>
          <w:rFonts w:ascii="Times New Roman" w:eastAsia="Times New Roman" w:hAnsi="Times New Roman" w:cs="Times New Roman"/>
          <w:kern w:val="0"/>
          <w:sz w:val="24"/>
          <w:szCs w:val="24"/>
          <w:lang w:val="en-SE" w:eastAsia="en-SE"/>
          <w14:ligatures w14:val="none"/>
        </w:rPr>
        <w:t>Note: The steps above were done using the Chrome browser and may differ slightly in other browsers.</w:t>
      </w:r>
    </w:p>
    <w:p w14:paraId="4E03195B" w14:textId="77777777" w:rsidR="00213442" w:rsidRPr="008B2B0C" w:rsidRDefault="00213442">
      <w:pPr>
        <w:rPr>
          <w:lang w:val="en-SE"/>
        </w:rPr>
      </w:pPr>
    </w:p>
    <w:sectPr w:rsidR="00213442" w:rsidRPr="008B2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34"/>
    <w:rsid w:val="00213442"/>
    <w:rsid w:val="008B2B0C"/>
    <w:rsid w:val="00EF1134"/>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C81D"/>
  <w15:chartTrackingRefBased/>
  <w15:docId w15:val="{3A6E382C-EBCE-49EF-A280-F8076B963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B2B0C"/>
    <w:pPr>
      <w:spacing w:before="100" w:beforeAutospacing="1" w:after="100" w:afterAutospacing="1" w:line="240" w:lineRule="auto"/>
      <w:outlineLvl w:val="1"/>
    </w:pPr>
    <w:rPr>
      <w:rFonts w:ascii="Times New Roman" w:eastAsia="Times New Roman" w:hAnsi="Times New Roman" w:cs="Times New Roman"/>
      <w:b/>
      <w:bCs/>
      <w:kern w:val="0"/>
      <w:sz w:val="36"/>
      <w:szCs w:val="36"/>
      <w:lang w:val="en-SE" w:eastAsia="en-S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2B0C"/>
    <w:rPr>
      <w:rFonts w:ascii="Times New Roman" w:eastAsia="Times New Roman" w:hAnsi="Times New Roman" w:cs="Times New Roman"/>
      <w:b/>
      <w:bCs/>
      <w:kern w:val="0"/>
      <w:sz w:val="36"/>
      <w:szCs w:val="36"/>
      <w:lang w:val="en-SE" w:eastAsia="en-SE"/>
      <w14:ligatures w14:val="none"/>
    </w:rPr>
  </w:style>
  <w:style w:type="paragraph" w:styleId="NormalWeb">
    <w:name w:val="Normal (Web)"/>
    <w:basedOn w:val="Normal"/>
    <w:uiPriority w:val="99"/>
    <w:semiHidden/>
    <w:unhideWhenUsed/>
    <w:rsid w:val="008B2B0C"/>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styleId="Hyperlink">
    <w:name w:val="Hyperlink"/>
    <w:basedOn w:val="DefaultParagraphFont"/>
    <w:uiPriority w:val="99"/>
    <w:semiHidden/>
    <w:unhideWhenUsed/>
    <w:rsid w:val="008B2B0C"/>
    <w:rPr>
      <w:color w:val="0000FF"/>
      <w:u w:val="single"/>
    </w:rPr>
  </w:style>
  <w:style w:type="character" w:styleId="HTMLCode">
    <w:name w:val="HTML Code"/>
    <w:basedOn w:val="DefaultParagraphFont"/>
    <w:uiPriority w:val="99"/>
    <w:semiHidden/>
    <w:unhideWhenUsed/>
    <w:rsid w:val="008B2B0C"/>
    <w:rPr>
      <w:rFonts w:ascii="Courier New" w:eastAsia="Times New Roman" w:hAnsi="Courier New" w:cs="Courier New"/>
      <w:sz w:val="20"/>
      <w:szCs w:val="20"/>
    </w:rPr>
  </w:style>
  <w:style w:type="paragraph" w:customStyle="1" w:styleId="mb-0">
    <w:name w:val="mb-0"/>
    <w:basedOn w:val="Normal"/>
    <w:rsid w:val="008B2B0C"/>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920748">
      <w:bodyDiv w:val="1"/>
      <w:marLeft w:val="0"/>
      <w:marRight w:val="0"/>
      <w:marTop w:val="0"/>
      <w:marBottom w:val="0"/>
      <w:divBdr>
        <w:top w:val="none" w:sz="0" w:space="0" w:color="auto"/>
        <w:left w:val="none" w:sz="0" w:space="0" w:color="auto"/>
        <w:bottom w:val="none" w:sz="0" w:space="0" w:color="auto"/>
        <w:right w:val="none" w:sz="0" w:space="0" w:color="auto"/>
      </w:divBdr>
      <w:divsChild>
        <w:div w:id="838010713">
          <w:marLeft w:val="0"/>
          <w:marRight w:val="0"/>
          <w:marTop w:val="0"/>
          <w:marBottom w:val="0"/>
          <w:divBdr>
            <w:top w:val="none" w:sz="0" w:space="0" w:color="auto"/>
            <w:left w:val="none" w:sz="0" w:space="0" w:color="auto"/>
            <w:bottom w:val="none" w:sz="0" w:space="0" w:color="auto"/>
            <w:right w:val="none" w:sz="0" w:space="0" w:color="auto"/>
          </w:divBdr>
          <w:divsChild>
            <w:div w:id="2290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packetstormsecurity.com/files/14437/hhupd.exe.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cs.microsoft.com/en-us/windows/win32/api/wincrypt/nf-wincrypt-cryptformatobject" TargetMode="External"/><Relationship Id="rId11" Type="http://schemas.openxmlformats.org/officeDocument/2006/relationships/image" Target="media/image4.png"/><Relationship Id="rId5" Type="http://schemas.openxmlformats.org/officeDocument/2006/relationships/hyperlink" Target="https://docs.microsoft.com/en-us/windows/win32/api/wintrust/" TargetMode="External"/><Relationship Id="rId15" Type="http://schemas.openxmlformats.org/officeDocument/2006/relationships/hyperlink" Target="https://web.archive.org/web/20210620053630/https:/gist.github.com/gentilkiwi/802c221c0731c06c22bb75650e884e5a" TargetMode="External"/><Relationship Id="rId10" Type="http://schemas.openxmlformats.org/officeDocument/2006/relationships/image" Target="media/image3.png"/><Relationship Id="rId4" Type="http://schemas.openxmlformats.org/officeDocument/2006/relationships/hyperlink" Target="https://nvd.nist.gov/vuln/detail/CVE-2019-1388" TargetMode="External"/><Relationship Id="rId9" Type="http://schemas.openxmlformats.org/officeDocument/2006/relationships/image" Target="media/image2.png"/><Relationship Id="rId14" Type="http://schemas.openxmlformats.org/officeDocument/2006/relationships/hyperlink" Target="https://msrc.microsoft.com/update-guide/en-US/vulnerability/CVE-2019-13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484</Words>
  <Characters>2760</Characters>
  <Application>Microsoft Office Word</Application>
  <DocSecurity>0</DocSecurity>
  <Lines>23</Lines>
  <Paragraphs>6</Paragraphs>
  <ScaleCrop>false</ScaleCrop>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2</cp:revision>
  <dcterms:created xsi:type="dcterms:W3CDTF">2023-08-08T13:12:00Z</dcterms:created>
  <dcterms:modified xsi:type="dcterms:W3CDTF">2023-08-08T13:12:00Z</dcterms:modified>
</cp:coreProperties>
</file>