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Тур 1189 — Бухара – Самарканд – Ташкент – Западный Тянь-Шань</w:t>
      </w:r>
    </w:p>
    <w:p>
      <w:r>
        <w:t xml:space="preserve">Тур 1189</w:t>
      </w:r>
    </w:p>
    <w:p>
      <w:pPr>
        <w:pStyle w:val="Heading1"/>
      </w:pPr>
      <w:r>
        <w:t xml:space="preserve">Бухара – Самарканд – Ташкент – Западный Тянь-Шань</w:t>
      </w:r>
    </w:p>
    <w:p>
      <w:r>
        <w:t xml:space="preserve">6 дней / 6 ночей</w:t>
      </w:r>
    </w:p>
    <w:p>
      <w:pPr>
        <w:pStyle w:val="Heading2"/>
      </w:pPr>
      <w:r>
        <w:t xml:space="preserve">1 день Бухара</w:t>
      </w:r>
    </w:p>
    <w:p>
      <w:r>
        <w:t xml:space="preserve">Ранний прилет в Бухару. Встреча в аэропорту.</w:t>
      </w:r>
    </w:p>
    <w:p>
      <w:r>
        <w:t xml:space="preserve">Раннее размещение.</w:t>
      </w:r>
    </w:p>
    <w:p>
      <w:r>
        <w:t xml:space="preserve">Завтрак в гостинице. Свободное время.</w:t>
      </w:r>
    </w:p>
    <w:p>
      <w:r>
        <w:rPr>
          <w:b/>
        </w:rPr>
        <w:t xml:space="preserve">Экскурсия по Бухаре</w:t>
      </w:r>
    </w:p>
    <w:p>
      <w:r>
        <w:t xml:space="preserve">В программе: мавзолей Саманидов, усыпальница Чашма Аюб, комплекс Боло-Хауз, старинная крепость Арк, комплекс Пой-Калян, медресе Абдулазиз-Хана и медресе Улугбека.</w:t>
      </w:r>
    </w:p>
    <w:p>
      <w:r>
        <w:t xml:space="preserve">Обед в ресторане национальной кухни.</w:t>
      </w:r>
    </w:p>
    <w:p>
      <w:r>
        <w:rPr>
          <w:b/>
        </w:rPr>
        <w:t xml:space="preserve">Продолжение экскурсии по Бухаре</w:t>
      </w:r>
    </w:p>
    <w:p>
      <w:r>
        <w:t xml:space="preserve">Вы увидите ансамбль Ляби-Хауз, медресе Кукельдаш, медресе Надира Диванбеги и торговые купола: Токи Сараффон, Токи-Тельпак Фурушон, Токи Заргарон и Тим Абдуллахана.</w:t>
      </w:r>
    </w:p>
    <w:p>
      <w:r>
        <w:rPr>
          <w:b/>
        </w:rPr>
        <w:t xml:space="preserve">Ужин в гостевом доме и мастер-класс по приготовлению бухарского плова</w:t>
      </w:r>
    </w:p>
    <w:p>
      <w:r>
        <w:t xml:space="preserve">Профессиональный ошпаз раскроет кулинарные секреты, расскажет и покажет, как приготовить настоящий бухарский плов. За доп. плату.</w:t>
      </w:r>
    </w:p>
    <w:p>
      <w:r>
        <w:t xml:space="preserve">Свободное время.</w:t>
      </w:r>
    </w:p>
    <w:p>
      <w:pPr>
        <w:pStyle w:val="Heading2"/>
      </w:pPr>
      <w:r>
        <w:t xml:space="preserve">2 день Бухара – Гиждуван – Самарканд</w:t>
      </w:r>
    </w:p>
    <w:p>
      <w:r>
        <w:t xml:space="preserve">Завтрак в гостинице. Выезд с вещами.</w:t>
      </w:r>
    </w:p>
    <w:p>
      <w:r>
        <w:rPr>
          <w:b/>
        </w:rPr>
        <w:t xml:space="preserve">Загородные объекты Бухары</w:t>
      </w:r>
    </w:p>
    <w:p>
      <w:r>
        <w:t xml:space="preserve">В программе дворец Ситораи Мохи-Хоса и комплекс Бахаутдина Накшбанди.</w:t>
      </w:r>
    </w:p>
    <w:p>
      <w:r>
        <w:t xml:space="preserve">Переезд в Гиждуван (ориентировочно 1 час в пути).</w:t>
      </w:r>
    </w:p>
    <w:p>
      <w:r>
        <w:rPr>
          <w:b/>
        </w:rPr>
        <w:t xml:space="preserve">Мастерская семьи керамистов Нарзуллаевых</w:t>
      </w:r>
    </w:p>
    <w:p>
      <w:r>
        <w:t xml:space="preserve">Гиждуванская керамика — одна из древнейших школ узбекской керамики. Формы, цвета и система узоров сохранились через многие века; ее отличают теплые золотисто-желтая и коричневая гаммы. В мастерской покажут процесс изготовления, росписи и обжига.</w:t>
      </w:r>
    </w:p>
    <w:p>
      <w:r>
        <w:t xml:space="preserve">Обед в доме керамистов — дегустация гиждуванских шашлыков.</w:t>
      </w:r>
    </w:p>
    <w:p>
      <w:r>
        <w:rPr>
          <w:b/>
        </w:rPr>
        <w:t xml:space="preserve">Переезд в Самарканд</w:t>
      </w:r>
    </w:p>
    <w:p>
      <w:r>
        <w:t xml:space="preserve">Самарканд — один из древнейших городов мира, ровесник Рима, Афин и Вавилона. Он был известен под названием «Мараканда» еще в середине первого тысячелетия до н. э. и был столицей Согдианы. В средние века город был центром империи Тамерлана.</w:t>
      </w:r>
    </w:p>
    <w:p>
      <w:r>
        <w:t xml:space="preserve">Размещение в гостинице.</w:t>
      </w:r>
    </w:p>
    <w:p>
      <w:r>
        <w:rPr>
          <w:b/>
        </w:rPr>
        <w:t xml:space="preserve">Вечерняя площадь Регистан</w:t>
      </w:r>
    </w:p>
    <w:p>
      <w:r>
        <w:t xml:space="preserve">Регистан окружают три памятника средневекового восточного зодчества: медресе Улугбека, медресе Шер-Дор и медресе Тилля-Кари.</w:t>
      </w:r>
    </w:p>
    <w:p>
      <w:pPr>
        <w:pStyle w:val="Heading2"/>
      </w:pPr>
      <w:r>
        <w:t xml:space="preserve">3 день Самарканд</w:t>
      </w:r>
    </w:p>
    <w:p>
      <w:r>
        <w:t xml:space="preserve">Завтрак в гостинице.</w:t>
      </w:r>
    </w:p>
    <w:p>
      <w:r>
        <w:rPr>
          <w:b/>
        </w:rPr>
        <w:t xml:space="preserve">Экскурсия по Самарканду</w:t>
      </w:r>
    </w:p>
    <w:p>
      <w:r>
        <w:t xml:space="preserve">В программе мавзолей Гур-Эмир — усыпальница Тамерлана, площадь Регистан с медресе Улугбека, Шер-Дор и Тилля-Кари, мечеть Биби-Ханум, архитектурный ансамбль Шахи-Зинда и обсерватория Улугбека.</w:t>
      </w:r>
    </w:p>
    <w:p>
      <w:r>
        <w:t xml:space="preserve">Обед в ресторане национальной кухни.</w:t>
      </w:r>
    </w:p>
    <w:p>
      <w:r>
        <w:rPr>
          <w:b/>
        </w:rPr>
        <w:t xml:space="preserve">Базар Сиаб</w:t>
      </w:r>
    </w:p>
    <w:p>
      <w:r>
        <w:t xml:space="preserve">Сиабский рынок находится на историческом месте между мечетью Биби-Ханум и комплексом Шахи-Зинда, в нескольких минутах ходьбы от Регистана. Испокон веку это место было центром общественной жизни.</w:t>
      </w:r>
    </w:p>
    <w:p>
      <w:r>
        <w:t xml:space="preserve">Свободное время.</w:t>
      </w:r>
    </w:p>
    <w:p>
      <w:pPr>
        <w:pStyle w:val="Heading2"/>
      </w:pPr>
      <w:r>
        <w:t xml:space="preserve">4 день Самарканд – Ташкент</w:t>
      </w:r>
    </w:p>
    <w:p>
      <w:r>
        <w:t xml:space="preserve">Завтрак в гостинице. Выезд с вещами.</w:t>
      </w:r>
    </w:p>
    <w:p>
      <w:r>
        <w:rPr>
          <w:b/>
        </w:rPr>
        <w:t xml:space="preserve">Мавзолей Святого Даниила</w:t>
      </w:r>
    </w:p>
    <w:p>
      <w:r>
        <w:t xml:space="preserve">Продолжение экскурсии по Самарканду: посещение мавзолея Святого Даниила, Ходжа-Данияр.</w:t>
      </w:r>
    </w:p>
    <w:p>
      <w:r>
        <w:rPr>
          <w:b/>
        </w:rPr>
        <w:t xml:space="preserve">Туристическая деревня ремесленников Конигил</w:t>
      </w:r>
    </w:p>
    <w:p>
      <w:r>
        <w:t xml:space="preserve">В деревне на берегу древнего канала Сиаб показаны аспекты быта типичной узбекской деревни: архитектура домов, домоводство, вышивка, ковроткачество, приготовление лепешек в тандыре, помол зерна на водяной мельнице и получение натуральных масел на маслобойне.</w:t>
      </w:r>
    </w:p>
    <w:p>
      <w:r>
        <w:rPr>
          <w:b/>
        </w:rPr>
        <w:t xml:space="preserve">Производство самаркандской шелковой бумаги</w:t>
      </w:r>
    </w:p>
    <w:p>
      <w:r>
        <w:t xml:space="preserve">В мастерской показывают ручное изготовление традиционной шелковой самаркандской бумаги по возрожденной раннесредневековой технологии: от очистки тутовой коры, вымачивания и размельчения до готовых листов бумаги. В процессе можно поучаствовать.</w:t>
      </w:r>
    </w:p>
    <w:p>
      <w:r>
        <w:t xml:space="preserve">Обед в ресторане национальной кухни.</w:t>
      </w:r>
    </w:p>
    <w:p>
      <w:r>
        <w:t xml:space="preserve">Переезд в Ташкент (ориентировочно 5 часов в пути).</w:t>
      </w:r>
    </w:p>
    <w:p>
      <w:r>
        <w:t xml:space="preserve">Размещение в гостинице. Свободное время.</w:t>
      </w:r>
    </w:p>
    <w:p>
      <w:pPr>
        <w:pStyle w:val="Heading2"/>
      </w:pPr>
      <w:r>
        <w:t xml:space="preserve">5 день Ташкент – Западный Тянь-Шань – Ташкент</w:t>
      </w:r>
    </w:p>
    <w:p>
      <w:r>
        <w:t xml:space="preserve">Завтрак в гостинице.</w:t>
      </w:r>
    </w:p>
    <w:p>
      <w:r>
        <w:rPr>
          <w:b/>
        </w:rPr>
        <w:t xml:space="preserve">Горный курорт «Амирсой»</w:t>
      </w:r>
    </w:p>
    <w:p>
      <w:r>
        <w:t xml:space="preserve">Переезд в курортную зону «Амирсой» в горах Западного Тянь-Шаня на высоте 1600–3309 м над уровнем моря. Подъем на смотровую площадку горного курорта «Амирсой» на канатном подъемнике гондольного типа, спуск. По желанию — пешая прогулка в горах.</w:t>
      </w:r>
    </w:p>
    <w:p>
      <w:r>
        <w:rPr>
          <w:b/>
        </w:rPr>
        <w:t xml:space="preserve">Чарвакское водохранилище и Ходжикент</w:t>
      </w:r>
    </w:p>
    <w:p>
      <w:r>
        <w:t xml:space="preserve">Переезд к побережью Чарвакского водохранилища, остановка на смотровой площадке. Далее переезд в поселок Ходжикент.</w:t>
      </w:r>
    </w:p>
    <w:p>
      <w:r>
        <w:t xml:space="preserve">Обед в национальной чайхане. Дегустация узбекского шашлыка.</w:t>
      </w:r>
    </w:p>
    <w:p>
      <w:r>
        <w:t xml:space="preserve">Возвращение в Ташкент.</w:t>
      </w:r>
    </w:p>
    <w:p>
      <w:r>
        <w:rPr>
          <w:b/>
        </w:rPr>
        <w:t xml:space="preserve">Винная дегустация на частном виноградном хозяйстве Uzumfermer</w:t>
      </w:r>
    </w:p>
    <w:p>
      <w:r>
        <w:t xml:space="preserve">Переезд в частное виноградное фермерское хозяйство Uzumfermer, экскурсия по территории и знакомство с местной технологией изготовления вина. Дегустация вин. За доп. плату.</w:t>
      </w:r>
    </w:p>
    <w:p>
      <w:pPr>
        <w:pStyle w:val="Heading2"/>
      </w:pPr>
      <w:r>
        <w:t xml:space="preserve">6 день Ташкент</w:t>
      </w:r>
    </w:p>
    <w:p>
      <w:r>
        <w:t xml:space="preserve">Завтрак в гостинице. Выезд с вещами из гостиницы.</w:t>
      </w:r>
    </w:p>
    <w:p>
      <w:r>
        <w:rPr>
          <w:b/>
        </w:rPr>
        <w:t xml:space="preserve">Старый город Ташкента</w:t>
      </w:r>
    </w:p>
    <w:p>
      <w:r>
        <w:t xml:space="preserve">В программе площадь Хаст-Имам, медресе Барак-Хана, мавзолей Кафал-аль-Шаши Мазар, медресе Кукельдаш и старейший базар Ташкента — Чорсу.</w:t>
      </w:r>
    </w:p>
    <w:p>
      <w:r>
        <w:rPr>
          <w:b/>
        </w:rPr>
        <w:t xml:space="preserve">Центрально-Азиатский центр плова</w:t>
      </w:r>
    </w:p>
    <w:p>
      <w:r>
        <w:t xml:space="preserve">Обед в Центрально-Азиатском центре плова, где в огромных казанах готовится плов по-ташкентски. Можно увидеть процесс от обжарки мяса до закладки овощей, специй и риса.</w:t>
      </w:r>
    </w:p>
    <w:p>
      <w:r>
        <w:t xml:space="preserve">Переезд в аэропорт. Завершение программы тура. Вылет из Ташкента.</w:t>
      </w:r>
    </w:p>
    <w:p>
      <w:pPr>
        <w:pStyle w:val="Heading2"/>
      </w:pPr>
      <w:r>
        <w:t xml:space="preserve">История изменений</w:t>
      </w:r>
    </w:p>
    <w:p>
      <w:r>
        <w:t xml:space="preserve">Для проверки — в менеджерку не копируется.</w:t>
      </w:r>
    </w:p>
    <w:p>
      <w:pPr>
        <w:pStyle w:val="Heading3"/>
      </w:pPr>
      <w:r>
        <w:t xml:space="preserve">Правки текста</w:t>
      </w:r>
    </w:p>
    <w:p>
      <w:pPr>
        <w:pStyle w:val="ListParagraph"/>
        <w:numPr>
          <w:ilvl w:val="0"/>
          <w:numId w:val="1"/>
        </w:numPr>
      </w:pPr>
      <w:r>
        <w:t xml:space="preserve">24.09.2026 — первая версия из текста чата: маршрут оставлен заголовком, программа сжата по дням; убраны рекламные оценки, время раннего размещения, повторы и длинные гастрономические описания; доплаты оставлены как «за доп. плату» без цен.</w:t>
      </w:r>
    </w:p>
    <w:p>
      <w:pPr>
        <w:pStyle w:val="Heading3"/>
      </w:pPr>
      <w:r>
        <w:t xml:space="preserve">Что убрано из менеджерской программы</w:t>
      </w:r>
    </w:p>
    <w:p>
      <w:pPr>
        <w:pStyle w:val="ListParagraph"/>
        <w:numPr>
          <w:ilvl w:val="0"/>
          <w:numId w:val="1"/>
        </w:numPr>
      </w:pPr>
      <w:r>
        <w:t xml:space="preserve">Название тура «Текст из чата MBOX 1189» заменено маршрутом.</w:t>
      </w:r>
    </w:p>
    <w:p>
      <w:pPr>
        <w:pStyle w:val="ListParagraph"/>
        <w:numPr>
          <w:ilvl w:val="0"/>
          <w:numId w:val="1"/>
        </w:numPr>
      </w:pPr>
      <w:r>
        <w:t xml:space="preserve">Убрано время: 1 (до 06:00).</w:t>
      </w:r>
    </w:p>
    <w:p>
      <w:pPr>
        <w:pStyle w:val="ListParagraph"/>
        <w:numPr>
          <w:ilvl w:val="0"/>
          <w:numId w:val="1"/>
        </w:numPr>
      </w:pPr>
      <w:r>
        <w:t xml:space="preserve">В менеджерской программе ночей 6 при 6 дн. — ночи не указаны, проверьте продолжительность.</w:t>
      </w:r>
    </w:p>
    <w:sectPr>
      <w:pgSz w:w="11906" w:h="16838"/>
      <w:pgMar w:top="1134" w:right="1134" w:bottom="1134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</w:pPr>
    <w:rPr>
      <w:b/>
      <w:sz w:val="48"/>
      <w:szCs w:val="48"/>
    </w:rPr>
  </w:style>
  <w:style w:type="paragraph" w:styleId="Heading1">
    <w:name w:val="heading 1"/>
    <w:basedOn w:val="Normal"/>
    <w:pPr>
      <w:outlineLvl w:val="0"/>
      <w:keepNext/>
      <w:spacing w:before="280" w:after="12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  <w:keepNext/>
      <w:spacing w:before="240" w:after="120"/>
    </w:pPr>
    <w:rPr>
      <w:b/>
      <w:sz w:val="26"/>
      <w:szCs w:val="26"/>
    </w:rPr>
  </w:style>
  <w:style w:type="paragraph" w:styleId="Heading3">
    <w:name w:val="heading 3"/>
    <w:basedOn w:val="Normal"/>
    <w:pPr>
      <w:outlineLvl w:val="2"/>
      <w:keepNext/>
      <w:spacing w:before="200" w:after="80"/>
    </w:pPr>
    <w:rPr>
      <w:b/>
      <w:sz w:val="24"/>
      <w:szCs w:val="24"/>
    </w:rPr>
  </w:style>
  <w:style w:type="paragraph" w:styleId="ListParagraph">
    <w:name w:val="List Paragraph"/>
    <w:basedOn w:val="Normal"/>
    <w:pPr>
      <w:spacing w:after="40"/>
      <w:ind w:left="720"/>
    </w:pPr>
  </w:style>
  <w:style w:type="paragraph" w:styleId="Quote">
    <w:name w:val="Quote"/>
    <w:basedOn w:val="Normal"/>
    <w:pPr>
      <w:ind w:left="480"/>
    </w:pPr>
    <w:rPr>
      <w:i/>
      <w:color w:val="59595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Тур 1189 — Бухара – Самарканд – Ташкент – Западный Тянь-Шань</dc:title>
  <dc:creator>MBOX</dc:creator>
  <cp:lastModifiedBy>MBOX</cp:lastModifiedBy>
</cp:coreProperties>
</file>