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9C7C0">
      <w:pPr>
        <w:bidi w:val="0"/>
        <w:jc w:val="center"/>
        <w:rPr>
          <w:rFonts w:hint="eastAsia"/>
          <w:b/>
          <w:bCs/>
          <w:sz w:val="52"/>
          <w:szCs w:val="72"/>
          <w:lang w:val="en-US" w:eastAsia="zh-CN"/>
        </w:rPr>
      </w:pPr>
      <w:r>
        <w:rPr>
          <w:rFonts w:hint="eastAsia"/>
          <w:b/>
          <w:bCs/>
          <w:sz w:val="52"/>
          <w:szCs w:val="72"/>
          <w:lang w:val="en-US" w:eastAsia="zh-CN"/>
        </w:rPr>
        <w:t>元his统一外部接口开发文档</w:t>
      </w:r>
    </w:p>
    <w:p w14:paraId="55F81F3B">
      <w:pPr>
        <w:bidi w:val="0"/>
        <w:jc w:val="center"/>
        <w:rPr>
          <w:rFonts w:hint="eastAsia"/>
          <w:b/>
          <w:bCs/>
          <w:sz w:val="52"/>
          <w:szCs w:val="72"/>
          <w:lang w:val="en-US" w:eastAsia="zh-CN"/>
        </w:rPr>
      </w:pPr>
    </w:p>
    <w:p w14:paraId="7006E44D">
      <w:pPr>
        <w:pStyle w:val="2"/>
        <w:bidi w:val="0"/>
      </w:pPr>
      <w:r>
        <w:rPr>
          <w:rFonts w:hint="eastAsia"/>
        </w:rPr>
        <w:t>文档更新记录</w:t>
      </w:r>
    </w:p>
    <w:tbl>
      <w:tblPr>
        <w:tblStyle w:val="4"/>
        <w:tblW w:w="7862" w:type="dxa"/>
        <w:tblInd w:w="2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984"/>
        <w:gridCol w:w="2410"/>
        <w:gridCol w:w="1984"/>
        <w:gridCol w:w="775"/>
      </w:tblGrid>
      <w:tr w14:paraId="7B584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2" w:hRule="atLeast"/>
        </w:trPr>
        <w:tc>
          <w:tcPr>
            <w:tcW w:w="709" w:type="dxa"/>
            <w:noWrap w:val="0"/>
            <w:vAlign w:val="top"/>
          </w:tcPr>
          <w:p w14:paraId="3D978BE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序号</w:t>
            </w:r>
          </w:p>
        </w:tc>
        <w:tc>
          <w:tcPr>
            <w:tcW w:w="1984" w:type="dxa"/>
            <w:noWrap w:val="0"/>
            <w:vAlign w:val="top"/>
          </w:tcPr>
          <w:p w14:paraId="063730CB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调整内容</w:t>
            </w:r>
          </w:p>
        </w:tc>
        <w:tc>
          <w:tcPr>
            <w:tcW w:w="2410" w:type="dxa"/>
            <w:noWrap w:val="0"/>
            <w:vAlign w:val="top"/>
          </w:tcPr>
          <w:p w14:paraId="09EED1E1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调整原因</w:t>
            </w:r>
          </w:p>
        </w:tc>
        <w:tc>
          <w:tcPr>
            <w:tcW w:w="1984" w:type="dxa"/>
            <w:noWrap w:val="0"/>
            <w:vAlign w:val="top"/>
          </w:tcPr>
          <w:p w14:paraId="38637C62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调整时间</w:t>
            </w:r>
          </w:p>
        </w:tc>
        <w:tc>
          <w:tcPr>
            <w:tcW w:w="775" w:type="dxa"/>
            <w:noWrap w:val="0"/>
            <w:vAlign w:val="top"/>
          </w:tcPr>
          <w:p w14:paraId="0665F17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备注</w:t>
            </w:r>
          </w:p>
        </w:tc>
      </w:tr>
      <w:tr w14:paraId="629C1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709" w:type="dxa"/>
            <w:noWrap w:val="0"/>
            <w:vAlign w:val="center"/>
          </w:tcPr>
          <w:p w14:paraId="4F9B14DE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1984" w:type="dxa"/>
            <w:noWrap w:val="0"/>
            <w:vAlign w:val="top"/>
          </w:tcPr>
          <w:p w14:paraId="64BC8446">
            <w:pPr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初步编制</w:t>
            </w:r>
          </w:p>
        </w:tc>
        <w:tc>
          <w:tcPr>
            <w:tcW w:w="2410" w:type="dxa"/>
            <w:noWrap w:val="0"/>
            <w:vAlign w:val="top"/>
          </w:tcPr>
          <w:p w14:paraId="371D4ADE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noWrap w:val="0"/>
            <w:vAlign w:val="top"/>
          </w:tcPr>
          <w:p w14:paraId="64313CA9"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</w:rPr>
              <w:t>202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/>
                <w:szCs w:val="21"/>
              </w:rPr>
              <w:t>-0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/>
                <w:szCs w:val="21"/>
              </w:rPr>
              <w:t>-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>04</w:t>
            </w:r>
          </w:p>
        </w:tc>
        <w:tc>
          <w:tcPr>
            <w:tcW w:w="775" w:type="dxa"/>
            <w:noWrap w:val="0"/>
            <w:vAlign w:val="top"/>
          </w:tcPr>
          <w:p w14:paraId="4BD7FE21">
            <w:pPr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>Wxl</w:t>
            </w:r>
          </w:p>
        </w:tc>
      </w:tr>
      <w:tr w14:paraId="15E47B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8" w:hRule="atLeast"/>
        </w:trPr>
        <w:tc>
          <w:tcPr>
            <w:tcW w:w="709" w:type="dxa"/>
            <w:noWrap w:val="0"/>
            <w:vAlign w:val="center"/>
          </w:tcPr>
          <w:p w14:paraId="19C6E079"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1984" w:type="dxa"/>
            <w:noWrap w:val="0"/>
            <w:vAlign w:val="top"/>
          </w:tcPr>
          <w:p w14:paraId="73CEF241">
            <w:pPr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noWrap w:val="0"/>
            <w:vAlign w:val="top"/>
          </w:tcPr>
          <w:p w14:paraId="0005E587">
            <w:pPr>
              <w:rPr>
                <w:rFonts w:ascii="宋体" w:hAnsi="宋体"/>
                <w:szCs w:val="21"/>
              </w:rPr>
            </w:pPr>
          </w:p>
        </w:tc>
        <w:tc>
          <w:tcPr>
            <w:tcW w:w="1984" w:type="dxa"/>
            <w:noWrap w:val="0"/>
            <w:vAlign w:val="top"/>
          </w:tcPr>
          <w:p w14:paraId="5AA82653">
            <w:pPr>
              <w:rPr>
                <w:rFonts w:ascii="宋体" w:hAnsi="宋体"/>
                <w:szCs w:val="21"/>
              </w:rPr>
            </w:pPr>
          </w:p>
        </w:tc>
        <w:tc>
          <w:tcPr>
            <w:tcW w:w="775" w:type="dxa"/>
            <w:noWrap w:val="0"/>
            <w:vAlign w:val="top"/>
          </w:tcPr>
          <w:p w14:paraId="2A0C3849">
            <w:pPr>
              <w:rPr>
                <w:rFonts w:ascii="宋体" w:hAnsi="宋体"/>
                <w:szCs w:val="21"/>
              </w:rPr>
            </w:pPr>
          </w:p>
        </w:tc>
      </w:tr>
    </w:tbl>
    <w:p w14:paraId="1E5C2B54">
      <w:pPr>
        <w:jc w:val="both"/>
        <w:rPr>
          <w:rFonts w:hint="eastAsia"/>
          <w:sz w:val="32"/>
          <w:szCs w:val="32"/>
        </w:rPr>
      </w:pPr>
    </w:p>
    <w:p w14:paraId="41E14353">
      <w:pPr>
        <w:bidi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</w:p>
    <w:p w14:paraId="5C7943EE">
      <w:pPr>
        <w:bidi w:val="0"/>
        <w:jc w:val="left"/>
        <w:rPr>
          <w:rFonts w:hint="default"/>
          <w:b/>
          <w:bCs/>
          <w:sz w:val="21"/>
          <w:szCs w:val="21"/>
          <w:lang w:val="en-US" w:eastAsia="zh-CN"/>
        </w:rPr>
      </w:pPr>
    </w:p>
    <w:p w14:paraId="103AEE11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一、接口开发说明</w:t>
      </w:r>
    </w:p>
    <w:p w14:paraId="6F0CC200">
      <w:pPr>
        <w:bidi w:val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统一外部接口 命名规范:工程以Plugins.EB_ 命名,主类名EB_ 需与工程名相同</w:t>
      </w:r>
    </w:p>
    <w:p w14:paraId="54382454">
      <w:pPr>
        <w:bidi w:val="0"/>
        <w:jc w:val="left"/>
        <w:rPr>
          <w:rFonts w:hint="eastAsia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如:工程名为Plugins.EB_InterfaceTest 主类名则为EB_InterfaceTest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</w:p>
    <w:p w14:paraId="016F62C6">
      <w:pPr>
        <w:bidi w:val="0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t>需引用System.Net.Http.dll和ZLSoft.CHSS.CPAPI.PluginBase.dll</w:t>
      </w:r>
    </w:p>
    <w:p w14:paraId="20E1778A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  <w:b w:val="0"/>
          <w:bCs w:val="0"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主类需继承</w:t>
      </w:r>
      <w:r>
        <w:rPr>
          <w:rFonts w:hint="eastAsia" w:ascii="新宋体" w:hAnsi="新宋体" w:eastAsia="新宋体"/>
          <w:color w:val="000000"/>
          <w:sz w:val="19"/>
          <w:szCs w:val="24"/>
        </w:rPr>
        <w:t>ZLSoft.CHSS.CPAPI.PluginBase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</w:rPr>
        <w:t>CPAPIPluginBase</w:t>
      </w:r>
      <w:r>
        <w:rPr>
          <w:rFonts w:hint="eastAsia" w:ascii="新宋体" w:hAnsi="新宋体" w:eastAsia="新宋体"/>
          <w:color w:val="000000"/>
          <w:sz w:val="19"/>
          <w:szCs w:val="24"/>
        </w:rPr>
        <w:br w:type="textWrapping"/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继承后实现会出现五个重写方法</w:t>
      </w:r>
    </w:p>
    <w:p w14:paraId="177516F6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PluginName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定义接口名,显示在插件上的目录的名字</w:t>
      </w:r>
    </w:p>
    <w:p w14:paraId="7BC0BF61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Description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接口的描述,插件上针对接口的描述</w:t>
      </w:r>
    </w:p>
    <w:p w14:paraId="39366217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SettingControl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插件上参数设置,可自定义重写</w:t>
      </w:r>
    </w:p>
    <w:p w14:paraId="799E0507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Dispose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释放资源</w:t>
      </w:r>
    </w:p>
    <w:p w14:paraId="07B89484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ProcessRequest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接口主入口</w:t>
      </w:r>
    </w:p>
    <w:p w14:paraId="747101A0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3D9FABCF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09F05A1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ProcessRequest</w:t>
      </w:r>
      <w:r>
        <w:rPr>
          <w:rFonts w:hint="eastAsia"/>
          <w:lang w:val="en-US" w:eastAsia="zh-CN"/>
        </w:rPr>
        <w:t>方法说明</w:t>
      </w:r>
    </w:p>
    <w:p w14:paraId="33D0C1DE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主入口方法包含两个参数</w:t>
      </w:r>
    </w:p>
    <w:p w14:paraId="3F5BCE8D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action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和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jsonParams</w:t>
      </w:r>
    </w:p>
    <w:p w14:paraId="04E1CBB6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action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可以不用管,是插件需要的</w:t>
      </w:r>
    </w:p>
    <w:p w14:paraId="42CFEFCC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jsonParams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为传入参数,包含执行数据库的参数,登录信息 和各接口参数.</w:t>
      </w:r>
    </w:p>
    <w:p w14:paraId="60484291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40E15316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下面主要介绍使用到的</w:t>
      </w:r>
    </w:p>
    <w:p w14:paraId="416EEEC4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JObject busi_param = JObject.Parse(busiparam);</w:t>
      </w:r>
    </w:p>
    <w:p w14:paraId="14D5F7A6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26E17FE8">
      <w:pPr>
        <w:bidi w:val="0"/>
        <w:jc w:val="left"/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模块功能的配置,这样获取模块和功能编码</w:t>
      </w:r>
    </w:p>
    <w:p w14:paraId="75308B33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module_code = busi_param.Value&lt;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&gt;(</w:t>
      </w:r>
      <w:r>
        <w:rPr>
          <w:rFonts w:hint="eastAsia" w:ascii="新宋体" w:hAnsi="新宋体" w:eastAsia="新宋体"/>
          <w:color w:val="A31515"/>
          <w:sz w:val="19"/>
          <w:szCs w:val="24"/>
        </w:rPr>
        <w:t>"module_code"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//模块编码</w:t>
      </w:r>
    </w:p>
    <w:p w14:paraId="3EC6B3BD">
      <w:pPr>
        <w:bidi w:val="0"/>
        <w:jc w:val="left"/>
        <w:rPr>
          <w:rFonts w:hint="eastAsia" w:ascii="新宋体" w:hAnsi="新宋体" w:eastAsia="新宋体"/>
          <w:color w:val="008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function_code = busi_param.Value&lt;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"function_code"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//功能编码</w:t>
      </w:r>
    </w:p>
    <w:p w14:paraId="04A1BA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lang w:eastAsia="zh-CN"/>
        </w:rPr>
      </w:pP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//拓展菜单这样获取界面目录编码和功能标识</w:t>
      </w:r>
    </w:p>
    <w:p w14:paraId="4FB8C5AA">
      <w:pPr>
        <w:bidi w:val="0"/>
        <w:jc w:val="left"/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</w:t>
      </w:r>
      <w:r>
        <w:rPr>
          <w:rFonts w:hint="eastAsia" w:ascii="新宋体" w:hAnsi="新宋体" w:eastAsia="新宋体"/>
          <w:color w:val="auto"/>
          <w:sz w:val="19"/>
          <w:szCs w:val="24"/>
        </w:rPr>
        <w:t xml:space="preserve">menu_code </w:t>
      </w:r>
      <w:r>
        <w:rPr>
          <w:rFonts w:hint="eastAsia" w:ascii="新宋体" w:hAnsi="新宋体" w:eastAsia="新宋体"/>
          <w:color w:val="000000"/>
          <w:sz w:val="19"/>
          <w:szCs w:val="24"/>
        </w:rPr>
        <w:t>= busi_param.Value&lt;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&gt;(</w:t>
      </w:r>
      <w:r>
        <w:rPr>
          <w:rFonts w:hint="eastAsia" w:ascii="新宋体" w:hAnsi="新宋体" w:eastAsia="新宋体"/>
          <w:color w:val="A31515"/>
          <w:sz w:val="19"/>
          <w:szCs w:val="24"/>
        </w:rPr>
        <w:t>"menu_code"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</w:t>
      </w: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目录编码</w:t>
      </w:r>
    </w:p>
    <w:p w14:paraId="473EC3AB">
      <w:pPr>
        <w:bidi w:val="0"/>
        <w:jc w:val="left"/>
        <w:rPr>
          <w:rFonts w:hint="default" w:ascii="新宋体" w:hAnsi="新宋体" w:eastAsia="新宋体"/>
          <w:color w:val="008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func_sign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= busi_param.Value&lt;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&gt;(</w:t>
      </w:r>
      <w:r>
        <w:rPr>
          <w:rFonts w:hint="eastAsia" w:ascii="新宋体" w:hAnsi="新宋体" w:eastAsia="新宋体"/>
          <w:color w:val="A31515"/>
          <w:sz w:val="19"/>
          <w:szCs w:val="24"/>
        </w:rPr>
        <w:t>"func_sign"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  <w:r>
        <w:rPr>
          <w:rFonts w:hint="eastAsia" w:ascii="新宋体" w:hAnsi="新宋体" w:eastAsia="新宋体"/>
          <w:color w:val="008000"/>
          <w:sz w:val="19"/>
          <w:szCs w:val="24"/>
        </w:rPr>
        <w:t>//功能</w:t>
      </w:r>
      <w:r>
        <w:rPr>
          <w:rFonts w:hint="eastAsia" w:ascii="新宋体" w:hAnsi="新宋体" w:eastAsia="新宋体"/>
          <w:color w:val="008000"/>
          <w:sz w:val="19"/>
          <w:szCs w:val="24"/>
          <w:lang w:val="en-US" w:eastAsia="zh-CN"/>
        </w:rPr>
        <w:t>标识</w:t>
      </w:r>
    </w:p>
    <w:p w14:paraId="07646011">
      <w:pPr>
        <w:bidi w:val="0"/>
        <w:jc w:val="left"/>
        <w:rPr>
          <w:rFonts w:hint="default" w:ascii="新宋体" w:hAnsi="新宋体" w:eastAsia="新宋体"/>
          <w:color w:val="auto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auto"/>
          <w:sz w:val="19"/>
          <w:szCs w:val="24"/>
          <w:lang w:val="en-US" w:eastAsia="zh-CN"/>
        </w:rPr>
        <w:t xml:space="preserve">string data = </w:t>
      </w:r>
      <w:r>
        <w:rPr>
          <w:rFonts w:hint="eastAsia" w:ascii="新宋体" w:hAnsi="新宋体" w:eastAsia="新宋体"/>
          <w:color w:val="000000"/>
          <w:sz w:val="19"/>
          <w:szCs w:val="24"/>
        </w:rPr>
        <w:t>busi_param.Value&lt;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&gt;(</w:t>
      </w:r>
      <w:r>
        <w:rPr>
          <w:rFonts w:hint="eastAsia" w:ascii="新宋体" w:hAnsi="新宋体" w:eastAsia="新宋体"/>
          <w:color w:val="A31515"/>
          <w:sz w:val="19"/>
          <w:szCs w:val="24"/>
        </w:rPr>
        <w:t>"</w:t>
      </w:r>
      <w:r>
        <w:rPr>
          <w:rFonts w:hint="eastAsia" w:ascii="新宋体" w:hAnsi="新宋体" w:eastAsia="新宋体"/>
          <w:color w:val="A31515"/>
          <w:sz w:val="19"/>
          <w:szCs w:val="24"/>
          <w:lang w:val="en-US" w:eastAsia="zh-CN"/>
        </w:rPr>
        <w:t>data</w:t>
      </w:r>
      <w:r>
        <w:rPr>
          <w:rFonts w:hint="eastAsia" w:ascii="新宋体" w:hAnsi="新宋体" w:eastAsia="新宋体"/>
          <w:color w:val="A31515"/>
          <w:sz w:val="19"/>
          <w:szCs w:val="24"/>
        </w:rPr>
        <w:t>"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//各模块详细入参,json格式</w:t>
      </w:r>
    </w:p>
    <w:p w14:paraId="31ECB39A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这样解析出模块编码和功能编码,对应的模块和功能可以在产品看到,产品入口 </w:t>
      </w:r>
    </w:p>
    <w:p w14:paraId="4FF2065B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模块功能:系统管理→统一事件接口→事件管理</w:t>
      </w:r>
    </w:p>
    <w:p w14:paraId="01D6DE70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拓展菜单:系统管理→拓展功能设置</w:t>
      </w:r>
    </w:p>
    <w:p w14:paraId="2975CD7E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2EEA3B87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0F3D404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2.插件提供主要函数说明:</w:t>
      </w:r>
    </w:p>
    <w:p w14:paraId="5B290FFD">
      <w:pPr>
        <w:bidi w:val="0"/>
        <w:rPr>
          <w:rFonts w:hint="eastAsia"/>
        </w:rPr>
      </w:pPr>
      <w:r>
        <w:rPr>
          <w:rFonts w:hint="eastAsia"/>
        </w:rPr>
        <w:t>FrmTopTools.SetTopmost(</w:t>
      </w:r>
      <w:r>
        <w:rPr>
          <w:rFonts w:hint="eastAsia"/>
          <w:lang w:val="en-US" w:eastAsia="zh-CN"/>
        </w:rPr>
        <w:t xml:space="preserve">IntPtr </w:t>
      </w:r>
      <w:r>
        <w:rPr>
          <w:rFonts w:hint="eastAsia"/>
        </w:rPr>
        <w:t>Handle);</w:t>
      </w:r>
    </w:p>
    <w:p w14:paraId="3F85CA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根据窗口句柄设置窗口最前</w:t>
      </w:r>
    </w:p>
    <w:p w14:paraId="13623BD5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57888F6D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BaseTools.ShowMsg(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string title,string msg</w:t>
      </w:r>
      <w:r>
        <w:rPr>
          <w:rFonts w:hint="eastAsia" w:ascii="新宋体" w:hAnsi="新宋体" w:eastAsia="新宋体"/>
          <w:color w:val="000000"/>
          <w:sz w:val="19"/>
          <w:szCs w:val="24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;</w:t>
      </w:r>
    </w:p>
    <w:p w14:paraId="2F7E950D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消息弹窗</w:t>
      </w:r>
    </w:p>
    <w:p w14:paraId="62AFFB58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3D7B1431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UPTools.GetModel&lt;</w:t>
      </w:r>
      <w:r>
        <w:rPr>
          <w:rFonts w:hint="eastAsia" w:ascii="新宋体" w:hAnsi="新宋体" w:eastAsia="新宋体"/>
          <w:color w:val="0000FF"/>
          <w:sz w:val="19"/>
          <w:szCs w:val="24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(string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Fun_name,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string 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tableSpace,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string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sql,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Param[] 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prarm,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string </w:t>
      </w:r>
      <w:r>
        <w:rPr>
          <w:rFonts w:hint="eastAsia" w:ascii="新宋体" w:hAnsi="新宋体" w:eastAsia="新宋体"/>
          <w:color w:val="000000"/>
          <w:sz w:val="19"/>
          <w:szCs w:val="24"/>
        </w:rPr>
        <w:t>DataIn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)</w:t>
      </w:r>
    </w:p>
    <w:p w14:paraId="642581F0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执行数据库方法</w:t>
      </w:r>
    </w:p>
    <w:p w14:paraId="703A3E62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Fun_name 方法名:方便服务端记录日志后期好定位</w:t>
      </w:r>
    </w:p>
    <w:p w14:paraId="07525E2C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tableSpace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域名 执行sql的库</w:t>
      </w:r>
    </w:p>
    <w:p w14:paraId="58379585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Sql 详细sql</w:t>
      </w:r>
    </w:p>
    <w:p w14:paraId="72A94C47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Param 参数列表</w:t>
      </w:r>
    </w:p>
    <w:p w14:paraId="0CCA3EAC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DataIn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 产品传入参数,可直接传主入口方法的第二个参数</w:t>
      </w:r>
      <w:r>
        <w:rPr>
          <w:rFonts w:hint="eastAsia" w:ascii="新宋体" w:hAnsi="新宋体" w:eastAsia="新宋体"/>
          <w:color w:val="000000"/>
          <w:sz w:val="19"/>
          <w:szCs w:val="24"/>
        </w:rPr>
        <w:t>jsonParams</w:t>
      </w:r>
    </w:p>
    <w:p w14:paraId="3B72F9E7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5B8355EE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57C3BC2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二、接口配置说明</w:t>
      </w:r>
    </w:p>
    <w:p w14:paraId="4CE3A877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1.基础配置</w:t>
      </w:r>
    </w:p>
    <w:p w14:paraId="79A2AA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1）</w:t>
      </w:r>
      <w:r>
        <w:rPr>
          <w:rFonts w:hint="eastAsia"/>
          <w:b/>
          <w:bCs/>
          <w:lang w:val="en-US" w:eastAsia="zh-CN"/>
        </w:rPr>
        <w:t>插件1.0版本</w:t>
      </w:r>
    </w:p>
    <w:p w14:paraId="04E28DD7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将生成的dll(包含引用的第三方dll,工程下生成的多个dll)压缩成zip格式(压缩前不需要建成文件夹),</w:t>
      </w:r>
    </w:p>
    <w:p w14:paraId="5928C146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进入产品 系统管理→插件升级</w:t>
      </w:r>
    </w:p>
    <w:p w14:paraId="1902FDFC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点上传选择插件更新包,选择压缩后的文件,点确认即可</w:t>
      </w:r>
    </w:p>
    <w:p w14:paraId="769FBAED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drawing>
          <wp:inline distT="0" distB="0" distL="114300" distR="114300">
            <wp:extent cx="5269230" cy="2411730"/>
            <wp:effectExtent l="0" t="0" r="3810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D99D6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17FCE883">
      <w:pPr>
        <w:numPr>
          <w:ilvl w:val="0"/>
          <w:numId w:val="1"/>
        </w:numPr>
        <w:bidi w:val="0"/>
        <w:jc w:val="left"/>
        <w:rPr>
          <w:rFonts w:hint="eastAsia" w:ascii="新宋体" w:hAnsi="新宋体" w:eastAsia="新宋体"/>
          <w:b/>
          <w:bCs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b/>
          <w:bCs/>
          <w:color w:val="000000"/>
          <w:sz w:val="19"/>
          <w:szCs w:val="24"/>
          <w:lang w:val="en-US" w:eastAsia="zh-CN"/>
        </w:rPr>
        <w:t>插件2.0版本</w:t>
      </w:r>
    </w:p>
    <w:p w14:paraId="04F56694">
      <w:pPr>
        <w:numPr>
          <w:ilvl w:val="0"/>
          <w:numId w:val="0"/>
        </w:numPr>
        <w:bidi w:val="0"/>
        <w:jc w:val="left"/>
        <w:rPr>
          <w:rFonts w:hint="eastAsia" w:ascii="新宋体" w:hAnsi="新宋体" w:eastAsia="新宋体"/>
          <w:b w:val="0"/>
          <w:bCs w:val="0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b w:val="0"/>
          <w:bCs w:val="0"/>
          <w:color w:val="000000"/>
          <w:sz w:val="19"/>
          <w:szCs w:val="24"/>
          <w:lang w:val="en-US" w:eastAsia="zh-CN"/>
        </w:rPr>
        <w:t>将生成的dll以及相关dll,还有一个 version.json 文件一起打包成zip格式，</w:t>
      </w:r>
    </w:p>
    <w:p w14:paraId="7CC2FC1E">
      <w:pPr>
        <w:numPr>
          <w:ilvl w:val="0"/>
          <w:numId w:val="0"/>
        </w:numPr>
        <w:bidi w:val="0"/>
        <w:jc w:val="left"/>
      </w:pPr>
      <w:r>
        <w:rPr>
          <w:rFonts w:hint="eastAsia" w:ascii="新宋体" w:hAnsi="新宋体" w:eastAsia="新宋体"/>
          <w:b w:val="0"/>
          <w:bCs w:val="0"/>
          <w:color w:val="000000"/>
          <w:sz w:val="19"/>
          <w:szCs w:val="24"/>
          <w:lang w:val="en-US" w:eastAsia="zh-CN"/>
        </w:rPr>
        <w:t>注意 version.json内容填写</w:t>
      </w:r>
      <w:r>
        <w:drawing>
          <wp:inline distT="0" distB="0" distL="114300" distR="114300">
            <wp:extent cx="5272405" cy="4638040"/>
            <wp:effectExtent l="0" t="0" r="635" b="1016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3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6026C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进入产品 系统管理→插件版本管理→业务插件</w:t>
      </w:r>
    </w:p>
    <w:p w14:paraId="0BAF7D78">
      <w:pPr>
        <w:bidi w:val="0"/>
        <w:jc w:val="left"/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在对应界面点上传新版本</w:t>
      </w:r>
      <w:r>
        <w:drawing>
          <wp:inline distT="0" distB="0" distL="114300" distR="114300">
            <wp:extent cx="5271770" cy="2906395"/>
            <wp:effectExtent l="0" t="0" r="127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0C0A7D">
      <w:pPr>
        <w:bidi w:val="0"/>
        <w:jc w:val="left"/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(初次为上传新版本，后续更新为选中对应记录点右边的重传)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br w:type="textWrapping"/>
      </w:r>
      <w:r>
        <w:drawing>
          <wp:inline distT="0" distB="0" distL="114300" distR="114300">
            <wp:extent cx="3429000" cy="99060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48351">
      <w:pPr>
        <w:numPr>
          <w:ilvl w:val="0"/>
          <w:numId w:val="0"/>
        </w:numPr>
        <w:bidi w:val="0"/>
        <w:jc w:val="left"/>
        <w:rPr>
          <w:rFonts w:hint="default"/>
          <w:lang w:val="en-US" w:eastAsia="zh-CN"/>
        </w:rPr>
      </w:pPr>
    </w:p>
    <w:p w14:paraId="229AF916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</w:p>
    <w:p w14:paraId="7CA418E4">
      <w:pPr>
        <w:bidi w:val="0"/>
        <w:jc w:val="left"/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文件上传成功之后,在 系统管理→统一事件接口→接口源管理 点新增程序集</w:t>
      </w:r>
    </w:p>
    <w:p w14:paraId="7BA84D39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drawing>
          <wp:inline distT="0" distB="0" distL="114300" distR="114300">
            <wp:extent cx="5267960" cy="4469765"/>
            <wp:effectExtent l="0" t="0" r="5080" b="1079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69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47EF7">
      <w:pPr>
        <w:bidi w:val="0"/>
        <w:jc w:val="left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 xml:space="preserve">接口名称自定义,程序集名称选择刚刚上传的压缩包的主dll序号保证不重复就行 </w:t>
      </w:r>
    </w:p>
    <w:p w14:paraId="16064CCE">
      <w:pPr>
        <w:bidi w:val="0"/>
        <w:jc w:val="left"/>
      </w:pPr>
      <w:r>
        <w:drawing>
          <wp:inline distT="0" distB="0" distL="114300" distR="114300">
            <wp:extent cx="5266690" cy="3985895"/>
            <wp:effectExtent l="0" t="0" r="6350" b="6985"/>
            <wp:docPr id="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8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F8FC3">
      <w:pPr>
        <w:bidi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配置完成后点确定,数据保存成功</w:t>
      </w:r>
    </w:p>
    <w:p w14:paraId="32508269">
      <w:pPr>
        <w:bidi w:val="0"/>
        <w:jc w:val="left"/>
        <w:rPr>
          <w:rFonts w:hint="default"/>
          <w:lang w:val="en-US" w:eastAsia="zh-CN"/>
        </w:rPr>
      </w:pPr>
    </w:p>
    <w:p w14:paraId="27C1400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2.接口功能配置</w:t>
      </w:r>
    </w:p>
    <w:p w14:paraId="573D0665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/>
          <w:lang w:val="en-US" w:eastAsia="zh-CN"/>
        </w:rPr>
        <w:t xml:space="preserve">打开界面  </w:t>
      </w: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系统管理→统一事件接口→事件管理</w:t>
      </w:r>
    </w:p>
    <w:p w14:paraId="4BFEC031">
      <w:pP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lang w:val="en-US" w:eastAsia="zh-CN"/>
        </w:rPr>
        <w:t>选择对应的模块功能后,点击右边的新增,弹出新增界面,选择对应的配置后点击确定,即可成功保存</w:t>
      </w:r>
    </w:p>
    <w:p w14:paraId="0FF05C03">
      <w:r>
        <w:drawing>
          <wp:inline distT="0" distB="0" distL="114300" distR="114300">
            <wp:extent cx="5269230" cy="2190115"/>
            <wp:effectExtent l="0" t="0" r="3810" b="444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190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5D8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配置好之后在对应功能处就会调用到接口了</w:t>
      </w:r>
    </w:p>
    <w:p w14:paraId="0BB1AFC9">
      <w:pPr>
        <w:rPr>
          <w:rFonts w:hint="eastAsia"/>
          <w:lang w:val="en-US" w:eastAsia="zh-CN"/>
        </w:rPr>
      </w:pPr>
    </w:p>
    <w:p w14:paraId="09B055B8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3.拓展功能配置</w:t>
      </w:r>
    </w:p>
    <w:p w14:paraId="4714DF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打开界面 系统管理→拓展功能设置 </w:t>
      </w:r>
    </w:p>
    <w:p w14:paraId="1F55F2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选择对应界面,点新增,填好对应的配置之后,点确定,数据就保存好了</w:t>
      </w:r>
    </w:p>
    <w:p w14:paraId="525AF7EC">
      <w:r>
        <w:drawing>
          <wp:inline distT="0" distB="0" distL="114300" distR="114300">
            <wp:extent cx="5265420" cy="2900680"/>
            <wp:effectExtent l="0" t="0" r="762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AB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在对应界面即可看到配置的拓展菜单了</w:t>
      </w:r>
    </w:p>
    <w:p w14:paraId="1E2A333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46177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6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2E6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50A0B7"/>
    <w:multiLevelType w:val="singleLevel"/>
    <w:tmpl w:val="5450A0B7"/>
    <w:lvl w:ilvl="0" w:tentative="0">
      <w:start w:val="2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F62932"/>
    <w:rsid w:val="62F62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libri Light" w:hAnsi="Calibri Light" w:eastAsia="宋体" w:cs="Times New Roman"/>
      <w:b/>
      <w:bCs/>
      <w:sz w:val="32"/>
      <w:szCs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2026-03-12T11:44:00Z</dcterms:created>
  <dc:creator>ㄤ不争岁月</dc:creator>
  <cp:lastModifiedBy>ㄤ不争岁月</cp:lastModifiedBy>
  <dcterms:modified xsi:type="dcterms:W3CDTF">2026-03-12T11:45:16Z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51D0620CD39A4C71BCCDEBA1FC23CD0D_11</vt:lpwstr>
  </property>
  <property fmtid="{D5CDD505-2E9C-101B-9397-08002B2CF9AE}" pid="4" name="KSOTemplateDocerSaveRecord">
    <vt:lpwstr>eyJoZGlkIjoiOTAxM2E2M2JkZjg3Njc1YTY0NWYwODU1ZTI0NGM3M2MiLCJ1c2VySWQiOiI2Njk0MTIyMTcifQ==</vt:lpwstr>
  </property>
</Properties>
</file>