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6B"/>
          <w:sz w:val="36"/>
        </w:rPr>
        <w:t>Servicio Nacional de Aprendizaje (SENA)</w:t>
      </w:r>
    </w:p>
    <w:p>
      <w:pPr>
        <w:jc w:val="center"/>
      </w:pPr>
      <w:r>
        <w:rPr>
          <w:color w:val="000000"/>
          <w:sz w:val="24"/>
        </w:rPr>
        <w:t>Centro de Gestión de Mercados, Logística y Tecnologías de la Información</w:t>
      </w:r>
    </w:p>
    <w:p/>
    <w:p/>
    <w:p>
      <w:pPr>
        <w:jc w:val="center"/>
      </w:pPr>
      <w:r>
        <w:rPr>
          <w:sz w:val="24"/>
        </w:rPr>
        <w:t>Programa: Análisis y Desarrollo de Inteligencia de Negocios</w:t>
      </w:r>
    </w:p>
    <w:p/>
    <w:p>
      <w:pPr>
        <w:jc w:val="center"/>
      </w:pPr>
      <w:r>
        <w:rPr>
          <w:b/>
          <w:color w:val="1B3A6B"/>
          <w:sz w:val="32"/>
        </w:rPr>
        <w:t>Guía 4 - Segmentación mediante Aprendizaje No Supervisado (K-Means)</w:t>
      </w:r>
    </w:p>
    <w:p/>
    <w:p>
      <w:pPr>
        <w:jc w:val="center"/>
      </w:pPr>
      <w:r>
        <w:rPr>
          <w:b/>
          <w:color w:val="1B3A6B"/>
          <w:sz w:val="28"/>
        </w:rPr>
        <w:t>Informe Final Completo</w:t>
      </w:r>
    </w:p>
    <w:p/>
    <w:p>
      <w:pPr>
        <w:jc w:val="center"/>
      </w:pPr>
      <w:r>
        <w:rPr>
          <w:sz w:val="22"/>
        </w:rPr>
        <w:t>Instrucción: John Jairo Londoño</w:t>
      </w:r>
    </w:p>
    <w:p>
      <w:pPr>
        <w:jc w:val="center"/>
      </w:pPr>
      <w:r>
        <w:rPr>
          <w:sz w:val="22"/>
        </w:rPr>
        <w:t>Aprendiz: [Nombre del Aprendiz]</w:t>
      </w:r>
    </w:p>
    <w:p>
      <w:pPr>
        <w:jc w:val="center"/>
      </w:pPr>
      <w:r>
        <w:rPr>
          <w:sz w:val="22"/>
        </w:rPr>
        <w:t>Ficha: [Número de Ficha]</w:t>
      </w:r>
    </w:p>
    <w:p>
      <w:pPr>
        <w:jc w:val="center"/>
      </w:pPr>
      <w:r>
        <w:rPr>
          <w:sz w:val="22"/>
        </w:rPr>
        <w:t>Fecha: Junio 2026</w:t>
      </w:r>
    </w:p>
    <w:p>
      <w:r>
        <w:br w:type="page"/>
      </w:r>
    </w:p>
    <w:p>
      <w:pPr>
        <w:pStyle w:val="Heading1"/>
      </w:pPr>
      <w:r>
        <w:t>1. Introducción</w:t>
      </w:r>
    </w:p>
    <w:p>
      <w:r>
        <w:t>El presente informe documenta el proceso completo de segmentación de clientes mediante la técnica de aprendizaje no supervisado K-Means, desarrollado en el marco de la Guía 4 del programa Análisis y Desarrollo de Inteligencia de Negocios del SENA. El objetivo principal es descubrir patrones ocultos en el comportamiento de los clientes a partir de un conjunto de variables numéricas y categóricas, sin utilizar una variable objetivo predefinida.</w:t>
      </w:r>
    </w:p>
    <w:p>
      <w:r>
        <w:t>La segmentación de clientes es una técnica fundamental en inteligencia de negocios que permite agrupar individuos con características similares para diseñar estrategias comerciales, de retención y de marketing diferenciadas. En este estudio se empleó el algoritmo K-Means por su eficiencia computacional y facilidad de interpretación.</w:t>
      </w:r>
    </w:p>
    <w:p>
      <w:r>
        <w:t>El análisis se realizó sobre una base de 420 clientes con 18 variables, de las cuales 15 fueron seleccionadas para el proceso de clustering. Se evaluaron valores de k desde 2 hasta 10 utilizando el método del codo (inercia), el coeficiente de Silhouette, y se complementó con visualizaciones de dispersión, PCA, diagramas de caja y matriz de correlaciones.</w:t>
      </w:r>
    </w:p>
    <w:p>
      <w:pPr>
        <w:pStyle w:val="Heading1"/>
      </w:pPr>
      <w:r>
        <w:t>2. Objetivos</w:t>
      </w:r>
    </w:p>
    <w:p>
      <w:pPr>
        <w:pStyle w:val="Heading2"/>
      </w:pPr>
      <w:r>
        <w:t>2.1 Objetivo General</w:t>
      </w:r>
    </w:p>
    <w:p>
      <w:r>
        <w:t>Segmentar la base de clientes del dataset G4_base_clientes.csv utilizando el algoritmo K-Means para identificar grupos homogéneos de clientes que permitan diseñar estrategias de negocio diferenciadas.</w:t>
      </w:r>
    </w:p>
    <w:p>
      <w:pPr>
        <w:pStyle w:val="Heading2"/>
      </w:pPr>
      <w:r>
        <w:t>2.2 Objetivos Específicos</w:t>
      </w:r>
    </w:p>
    <w:p>
      <w:pPr>
        <w:pStyle w:val="ListBullet"/>
      </w:pPr>
      <w:r>
        <w:t>Realizar un diagnóstico inicial del dataset identificando tipos de datos, valores nulos, duplicados y variables disponibles.</w:t>
      </w:r>
    </w:p>
    <w:p>
      <w:pPr>
        <w:pStyle w:val="ListBullet"/>
      </w:pPr>
      <w:r>
        <w:t>Seleccionar y preparar las variables relevantes para clustering mediante codificación (One-Hot y Ordinal) y escalamiento (StandardScaler).</w:t>
      </w:r>
    </w:p>
    <w:p>
      <w:pPr>
        <w:pStyle w:val="ListBullet"/>
      </w:pPr>
      <w:r>
        <w:t>Determinar el número óptimo de clusters k mediante el método del codo y el coeficiente de Silhouette para k=2 hasta k=10.</w:t>
      </w:r>
    </w:p>
    <w:p>
      <w:pPr>
        <w:pStyle w:val="ListBullet"/>
      </w:pPr>
      <w:r>
        <w:t>Entrenar el modelo K-Means con k=3 y asignar etiquetas de cluster a cada cliente.</w:t>
      </w:r>
    </w:p>
    <w:p>
      <w:pPr>
        <w:pStyle w:val="ListBullet"/>
      </w:pPr>
      <w:r>
        <w:t>Visualizar los clusters mediante gráficas de dispersión, PCA y diagramas de caja.</w:t>
      </w:r>
    </w:p>
    <w:p>
      <w:pPr>
        <w:pStyle w:val="ListBullet"/>
      </w:pPr>
      <w:r>
        <w:t>Caracterizar cada segmento mediante perfiles numéricos y categóricos.</w:t>
      </w:r>
    </w:p>
    <w:p>
      <w:pPr>
        <w:pStyle w:val="ListBullet"/>
      </w:pPr>
      <w:r>
        <w:t>Realizar un análisis comparativo externo con la variable Abandono para validar la utilidad de los segmentos.</w:t>
      </w:r>
    </w:p>
    <w:p>
      <w:pPr>
        <w:pStyle w:val="Heading1"/>
      </w:pPr>
      <w:r>
        <w:t>3. Metodología</w:t>
      </w:r>
    </w:p>
    <w:p>
      <w:r>
        <w:t>La metodología empleada sigue el flujo de trabajo estándar para proyectos de clustering con K-Means:</w:t>
      </w:r>
    </w:p>
    <w:p>
      <w:pPr>
        <w:pStyle w:val="ListNumber"/>
      </w:pPr>
      <w:r>
        <w:t>Carga y exploración inicial del dataset.</w:t>
      </w:r>
    </w:p>
    <w:p>
      <w:pPr>
        <w:pStyle w:val="ListNumber"/>
      </w:pPr>
      <w:r>
        <w:t>Diagnóstico de calidad de datos (nulos, duplicados, tipos).</w:t>
      </w:r>
    </w:p>
    <w:p>
      <w:pPr>
        <w:pStyle w:val="ListNumber"/>
      </w:pPr>
      <w:r>
        <w:t>Selección de variables: exclusión de identificadores y variables supervisadas (Abandono).</w:t>
      </w:r>
    </w:p>
    <w:p>
      <w:pPr>
        <w:pStyle w:val="ListNumber"/>
      </w:pPr>
      <w:r>
        <w:t>Clasificación de variables en numéricas, nominales y ordinales.</w:t>
      </w:r>
    </w:p>
    <w:p>
      <w:pPr>
        <w:pStyle w:val="ListNumber"/>
      </w:pPr>
      <w:r>
        <w:t>Preprocesamiento: escalamiento (StandardScaler) para numéricas, One-Hot Encoding para nominales, Ordinal Encoding para ordinales.</w:t>
      </w:r>
    </w:p>
    <w:p>
      <w:pPr>
        <w:pStyle w:val="ListNumber"/>
      </w:pPr>
      <w:r>
        <w:t>Evaluación de k=2 a k=10 con método del codo (inercia) y Silhouette Score.</w:t>
      </w:r>
    </w:p>
    <w:p>
      <w:pPr>
        <w:pStyle w:val="ListNumber"/>
      </w:pPr>
      <w:r>
        <w:t>Selección justificada de k=3.</w:t>
      </w:r>
    </w:p>
    <w:p>
      <w:pPr>
        <w:pStyle w:val="ListNumber"/>
      </w:pPr>
      <w:r>
        <w:t>Entrenamiento del modelo final con k=3.</w:t>
      </w:r>
    </w:p>
    <w:p>
      <w:pPr>
        <w:pStyle w:val="ListNumber"/>
      </w:pPr>
      <w:r>
        <w:t>Visualización: dispersión sin/con clusters, PCA, barras, boxplots, correlación.</w:t>
      </w:r>
    </w:p>
    <w:p>
      <w:pPr>
        <w:pStyle w:val="ListNumber"/>
      </w:pPr>
      <w:r>
        <w:t>Perfilamiento numérico y categórico de cada cluster.</w:t>
      </w:r>
    </w:p>
    <w:p>
      <w:pPr>
        <w:pStyle w:val="ListNumber"/>
      </w:pPr>
      <w:r>
        <w:t>Análisis externo con variable Abandono.</w:t>
      </w:r>
    </w:p>
    <w:p>
      <w:pPr>
        <w:pStyle w:val="Heading1"/>
      </w:pPr>
      <w:r>
        <w:t>4. Dataset</w:t>
      </w:r>
    </w:p>
    <w:p>
      <w:pPr>
        <w:pStyle w:val="Heading2"/>
      </w:pPr>
      <w:r>
        <w:t>4.1 Descripción General</w:t>
      </w:r>
    </w:p>
    <w:p>
      <w:r>
        <w:t>El dataset G4_base_clientes.csv contiene información de 420 clientes distribuidos en 18 columnas. No se encontraron valores nulos ni registros duplicados.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6B" w:val="clear"/>
          </w:tcPr>
          <w:p>
            <w:pPr>
              <w:jc w:val="center"/>
            </w:pPr>
            <w:r/>
            <w:r>
              <w:rPr>
                <w:b/>
                <w:color w:val="FFFFFF"/>
                <w:sz w:val="20"/>
              </w:rPr>
              <w:t>Variable</w:t>
            </w:r>
          </w:p>
        </w:tc>
        <w:tc>
          <w:tcPr>
            <w:tcW w:type="dxa" w:w="2880"/>
            <w:shd w:fill="1B3A6B" w:val="clear"/>
          </w:tcPr>
          <w:p>
            <w:pPr>
              <w:jc w:val="center"/>
            </w:pPr>
            <w:r/>
            <w:r>
              <w:rPr>
                <w:b/>
                <w:color w:val="FFFFFF"/>
                <w:sz w:val="20"/>
              </w:rPr>
              <w:t>Tipo</w:t>
            </w:r>
          </w:p>
        </w:tc>
        <w:tc>
          <w:tcPr>
            <w:tcW w:type="dxa" w:w="2880"/>
            <w:shd w:fill="1B3A6B" w:val="clear"/>
          </w:tcPr>
          <w:p>
            <w:pPr>
              <w:jc w:val="center"/>
            </w:pPr>
            <w:r/>
            <w:r>
              <w:rPr>
                <w:b/>
                <w:color w:val="FFFFFF"/>
                <w:sz w:val="20"/>
              </w:rPr>
              <w:t>Descripción</w:t>
            </w:r>
          </w:p>
        </w:tc>
      </w:tr>
      <w:tr>
        <w:tc>
          <w:tcPr>
            <w:tcW w:type="dxa" w:w="2880"/>
            <w:shd w:fill="F2F6FA" w:val="clear"/>
          </w:tcPr>
          <w:p>
            <w:pPr>
              <w:jc w:val="center"/>
            </w:pPr>
            <w:r/>
            <w:r>
              <w:rPr>
                <w:sz w:val="20"/>
              </w:rPr>
              <w:t>ID_Cliente</w:t>
            </w:r>
          </w:p>
        </w:tc>
        <w:tc>
          <w:tcPr>
            <w:tcW w:type="dxa" w:w="2880"/>
            <w:shd w:fill="F2F6FA" w:val="clear"/>
          </w:tcPr>
          <w:p>
            <w:pPr>
              <w:jc w:val="center"/>
            </w:pPr>
            <w:r/>
            <w:r>
              <w:rPr>
                <w:sz w:val="20"/>
              </w:rPr>
              <w:t>str (identificador)</w:t>
            </w:r>
          </w:p>
        </w:tc>
        <w:tc>
          <w:tcPr>
            <w:tcW w:type="dxa" w:w="2880"/>
            <w:shd w:fill="F2F6FA" w:val="clear"/>
          </w:tcPr>
          <w:p>
            <w:pPr>
              <w:jc w:val="center"/>
            </w:pPr>
            <w:r/>
            <w:r>
              <w:rPr>
                <w:sz w:val="20"/>
              </w:rPr>
              <w:t>Código único del cliente</w:t>
            </w:r>
          </w:p>
        </w:tc>
      </w:tr>
      <w:tr>
        <w:tc>
          <w:tcPr>
            <w:tcW w:type="dxa" w:w="2880"/>
          </w:tcPr>
          <w:p>
            <w:pPr>
              <w:jc w:val="center"/>
            </w:pPr>
            <w:r/>
            <w:r>
              <w:rPr>
                <w:sz w:val="20"/>
              </w:rPr>
              <w:t>Edad</w:t>
            </w:r>
          </w:p>
        </w:tc>
        <w:tc>
          <w:tcPr>
            <w:tcW w:type="dxa" w:w="2880"/>
          </w:tcPr>
          <w:p>
            <w:pPr>
              <w:jc w:val="center"/>
            </w:pPr>
            <w:r/>
            <w:r>
              <w:rPr>
                <w:sz w:val="20"/>
              </w:rPr>
              <w:t>int64</w:t>
            </w:r>
          </w:p>
        </w:tc>
        <w:tc>
          <w:tcPr>
            <w:tcW w:type="dxa" w:w="2880"/>
          </w:tcPr>
          <w:p>
            <w:pPr>
              <w:jc w:val="center"/>
            </w:pPr>
            <w:r/>
            <w:r>
              <w:rPr>
                <w:sz w:val="20"/>
              </w:rPr>
              <w:t>Edad del cliente en años</w:t>
            </w:r>
          </w:p>
        </w:tc>
      </w:tr>
      <w:tr>
        <w:tc>
          <w:tcPr>
            <w:tcW w:type="dxa" w:w="2880"/>
            <w:shd w:fill="F2F6FA" w:val="clear"/>
          </w:tcPr>
          <w:p>
            <w:pPr>
              <w:jc w:val="center"/>
            </w:pPr>
            <w:r/>
            <w:r>
              <w:rPr>
                <w:sz w:val="20"/>
              </w:rPr>
              <w:t>IngresoMensual</w:t>
            </w:r>
          </w:p>
        </w:tc>
        <w:tc>
          <w:tcPr>
            <w:tcW w:type="dxa" w:w="2880"/>
            <w:shd w:fill="F2F6FA" w:val="clear"/>
          </w:tcPr>
          <w:p>
            <w:pPr>
              <w:jc w:val="center"/>
            </w:pPr>
            <w:r/>
            <w:r>
              <w:rPr>
                <w:sz w:val="20"/>
              </w:rPr>
              <w:t>int64</w:t>
            </w:r>
          </w:p>
        </w:tc>
        <w:tc>
          <w:tcPr>
            <w:tcW w:type="dxa" w:w="2880"/>
            <w:shd w:fill="F2F6FA" w:val="clear"/>
          </w:tcPr>
          <w:p>
            <w:pPr>
              <w:jc w:val="center"/>
            </w:pPr>
            <w:r/>
            <w:r>
              <w:rPr>
                <w:sz w:val="20"/>
              </w:rPr>
              <w:t>Ingreso mensual en unidades monetarias</w:t>
            </w:r>
          </w:p>
        </w:tc>
      </w:tr>
      <w:tr>
        <w:tc>
          <w:tcPr>
            <w:tcW w:type="dxa" w:w="2880"/>
          </w:tcPr>
          <w:p>
            <w:pPr>
              <w:jc w:val="center"/>
            </w:pPr>
            <w:r/>
            <w:r>
              <w:rPr>
                <w:sz w:val="20"/>
              </w:rPr>
              <w:t>CantidadCompras</w:t>
            </w:r>
          </w:p>
        </w:tc>
        <w:tc>
          <w:tcPr>
            <w:tcW w:type="dxa" w:w="2880"/>
          </w:tcPr>
          <w:p>
            <w:pPr>
              <w:jc w:val="center"/>
            </w:pPr>
            <w:r/>
            <w:r>
              <w:rPr>
                <w:sz w:val="20"/>
              </w:rPr>
              <w:t>int64</w:t>
            </w:r>
          </w:p>
        </w:tc>
        <w:tc>
          <w:tcPr>
            <w:tcW w:type="dxa" w:w="2880"/>
          </w:tcPr>
          <w:p>
            <w:pPr>
              <w:jc w:val="center"/>
            </w:pPr>
            <w:r/>
            <w:r>
              <w:rPr>
                <w:sz w:val="20"/>
              </w:rPr>
              <w:t>Cantidad total de compras realizadas</w:t>
            </w:r>
          </w:p>
        </w:tc>
      </w:tr>
      <w:tr>
        <w:tc>
          <w:tcPr>
            <w:tcW w:type="dxa" w:w="2880"/>
            <w:shd w:fill="F2F6FA" w:val="clear"/>
          </w:tcPr>
          <w:p>
            <w:pPr>
              <w:jc w:val="center"/>
            </w:pPr>
            <w:r/>
            <w:r>
              <w:rPr>
                <w:sz w:val="20"/>
              </w:rPr>
              <w:t>ComprasUltimos12M</w:t>
            </w:r>
          </w:p>
        </w:tc>
        <w:tc>
          <w:tcPr>
            <w:tcW w:type="dxa" w:w="2880"/>
            <w:shd w:fill="F2F6FA" w:val="clear"/>
          </w:tcPr>
          <w:p>
            <w:pPr>
              <w:jc w:val="center"/>
            </w:pPr>
            <w:r/>
            <w:r>
              <w:rPr>
                <w:sz w:val="20"/>
              </w:rPr>
              <w:t>int64</w:t>
            </w:r>
          </w:p>
        </w:tc>
        <w:tc>
          <w:tcPr>
            <w:tcW w:type="dxa" w:w="2880"/>
            <w:shd w:fill="F2F6FA" w:val="clear"/>
          </w:tcPr>
          <w:p>
            <w:pPr>
              <w:jc w:val="center"/>
            </w:pPr>
            <w:r/>
            <w:r>
              <w:rPr>
                <w:sz w:val="20"/>
              </w:rPr>
              <w:t>Compras en los últimos 12 meses</w:t>
            </w:r>
          </w:p>
        </w:tc>
      </w:tr>
      <w:tr>
        <w:tc>
          <w:tcPr>
            <w:tcW w:type="dxa" w:w="2880"/>
          </w:tcPr>
          <w:p>
            <w:pPr>
              <w:jc w:val="center"/>
            </w:pPr>
            <w:r/>
            <w:r>
              <w:rPr>
                <w:sz w:val="20"/>
              </w:rPr>
              <w:t>AntiguedadMeses</w:t>
            </w:r>
          </w:p>
        </w:tc>
        <w:tc>
          <w:tcPr>
            <w:tcW w:type="dxa" w:w="2880"/>
          </w:tcPr>
          <w:p>
            <w:pPr>
              <w:jc w:val="center"/>
            </w:pPr>
            <w:r/>
            <w:r>
              <w:rPr>
                <w:sz w:val="20"/>
              </w:rPr>
              <w:t>int64</w:t>
            </w:r>
          </w:p>
        </w:tc>
        <w:tc>
          <w:tcPr>
            <w:tcW w:type="dxa" w:w="2880"/>
          </w:tcPr>
          <w:p>
            <w:pPr>
              <w:jc w:val="center"/>
            </w:pPr>
            <w:r/>
            <w:r>
              <w:rPr>
                <w:sz w:val="20"/>
              </w:rPr>
              <w:t>Antigüedad del cliente en meses</w:t>
            </w:r>
          </w:p>
        </w:tc>
      </w:tr>
      <w:tr>
        <w:tc>
          <w:tcPr>
            <w:tcW w:type="dxa" w:w="2880"/>
            <w:shd w:fill="F2F6FA" w:val="clear"/>
          </w:tcPr>
          <w:p>
            <w:pPr>
              <w:jc w:val="center"/>
            </w:pPr>
            <w:r/>
            <w:r>
              <w:rPr>
                <w:sz w:val="20"/>
              </w:rPr>
              <w:t>QuejasUltimos6M</w:t>
            </w:r>
          </w:p>
        </w:tc>
        <w:tc>
          <w:tcPr>
            <w:tcW w:type="dxa" w:w="2880"/>
            <w:shd w:fill="F2F6FA" w:val="clear"/>
          </w:tcPr>
          <w:p>
            <w:pPr>
              <w:jc w:val="center"/>
            </w:pPr>
            <w:r/>
            <w:r>
              <w:rPr>
                <w:sz w:val="20"/>
              </w:rPr>
              <w:t>int64</w:t>
            </w:r>
          </w:p>
        </w:tc>
        <w:tc>
          <w:tcPr>
            <w:tcW w:type="dxa" w:w="2880"/>
            <w:shd w:fill="F2F6FA" w:val="clear"/>
          </w:tcPr>
          <w:p>
            <w:pPr>
              <w:jc w:val="center"/>
            </w:pPr>
            <w:r/>
            <w:r>
              <w:rPr>
                <w:sz w:val="20"/>
              </w:rPr>
              <w:t>Número de quejas en los últimos 6 meses</w:t>
            </w:r>
          </w:p>
        </w:tc>
      </w:tr>
      <w:tr>
        <w:tc>
          <w:tcPr>
            <w:tcW w:type="dxa" w:w="2880"/>
          </w:tcPr>
          <w:p>
            <w:pPr>
              <w:jc w:val="center"/>
            </w:pPr>
            <w:r/>
            <w:r>
              <w:rPr>
                <w:sz w:val="20"/>
              </w:rPr>
              <w:t>DiasDesdeUltimaCompra</w:t>
            </w:r>
          </w:p>
        </w:tc>
        <w:tc>
          <w:tcPr>
            <w:tcW w:type="dxa" w:w="2880"/>
          </w:tcPr>
          <w:p>
            <w:pPr>
              <w:jc w:val="center"/>
            </w:pPr>
            <w:r/>
            <w:r>
              <w:rPr>
                <w:sz w:val="20"/>
              </w:rPr>
              <w:t>int64</w:t>
            </w:r>
          </w:p>
        </w:tc>
        <w:tc>
          <w:tcPr>
            <w:tcW w:type="dxa" w:w="2880"/>
          </w:tcPr>
          <w:p>
            <w:pPr>
              <w:jc w:val="center"/>
            </w:pPr>
            <w:r/>
            <w:r>
              <w:rPr>
                <w:sz w:val="20"/>
              </w:rPr>
              <w:t>Días desde la última compra</w:t>
            </w:r>
          </w:p>
        </w:tc>
      </w:tr>
      <w:tr>
        <w:tc>
          <w:tcPr>
            <w:tcW w:type="dxa" w:w="2880"/>
            <w:shd w:fill="F2F6FA" w:val="clear"/>
          </w:tcPr>
          <w:p>
            <w:pPr>
              <w:jc w:val="center"/>
            </w:pPr>
            <w:r/>
            <w:r>
              <w:rPr>
                <w:sz w:val="20"/>
              </w:rPr>
              <w:t>VisitasWebUltimoMes</w:t>
            </w:r>
          </w:p>
        </w:tc>
        <w:tc>
          <w:tcPr>
            <w:tcW w:type="dxa" w:w="2880"/>
            <w:shd w:fill="F2F6FA" w:val="clear"/>
          </w:tcPr>
          <w:p>
            <w:pPr>
              <w:jc w:val="center"/>
            </w:pPr>
            <w:r/>
            <w:r>
              <w:rPr>
                <w:sz w:val="20"/>
              </w:rPr>
              <w:t>int64</w:t>
            </w:r>
          </w:p>
        </w:tc>
        <w:tc>
          <w:tcPr>
            <w:tcW w:type="dxa" w:w="2880"/>
            <w:shd w:fill="F2F6FA" w:val="clear"/>
          </w:tcPr>
          <w:p>
            <w:pPr>
              <w:jc w:val="center"/>
            </w:pPr>
            <w:r/>
            <w:r>
              <w:rPr>
                <w:sz w:val="20"/>
              </w:rPr>
              <w:t>Visitas al sitio web en el último mes</w:t>
            </w:r>
          </w:p>
        </w:tc>
      </w:tr>
      <w:tr>
        <w:tc>
          <w:tcPr>
            <w:tcW w:type="dxa" w:w="2880"/>
          </w:tcPr>
          <w:p>
            <w:pPr>
              <w:jc w:val="center"/>
            </w:pPr>
            <w:r/>
            <w:r>
              <w:rPr>
                <w:sz w:val="20"/>
              </w:rPr>
              <w:t>TiempoPromedioSesionMin</w:t>
            </w:r>
          </w:p>
        </w:tc>
        <w:tc>
          <w:tcPr>
            <w:tcW w:type="dxa" w:w="2880"/>
          </w:tcPr>
          <w:p>
            <w:pPr>
              <w:jc w:val="center"/>
            </w:pPr>
            <w:r/>
            <w:r>
              <w:rPr>
                <w:sz w:val="20"/>
              </w:rPr>
              <w:t>float64</w:t>
            </w:r>
          </w:p>
        </w:tc>
        <w:tc>
          <w:tcPr>
            <w:tcW w:type="dxa" w:w="2880"/>
          </w:tcPr>
          <w:p>
            <w:pPr>
              <w:jc w:val="center"/>
            </w:pPr>
            <w:r/>
            <w:r>
              <w:rPr>
                <w:sz w:val="20"/>
              </w:rPr>
              <w:t>Tiempo promedio de sesión en minutos</w:t>
            </w:r>
          </w:p>
        </w:tc>
      </w:tr>
      <w:tr>
        <w:tc>
          <w:tcPr>
            <w:tcW w:type="dxa" w:w="2880"/>
            <w:shd w:fill="F2F6FA" w:val="clear"/>
          </w:tcPr>
          <w:p>
            <w:pPr>
              <w:jc w:val="center"/>
            </w:pPr>
            <w:r/>
            <w:r>
              <w:rPr>
                <w:sz w:val="20"/>
              </w:rPr>
              <w:t>CuponesUsados</w:t>
            </w:r>
          </w:p>
        </w:tc>
        <w:tc>
          <w:tcPr>
            <w:tcW w:type="dxa" w:w="2880"/>
            <w:shd w:fill="F2F6FA" w:val="clear"/>
          </w:tcPr>
          <w:p>
            <w:pPr>
              <w:jc w:val="center"/>
            </w:pPr>
            <w:r/>
            <w:r>
              <w:rPr>
                <w:sz w:val="20"/>
              </w:rPr>
              <w:t>int64</w:t>
            </w:r>
          </w:p>
        </w:tc>
        <w:tc>
          <w:tcPr>
            <w:tcW w:type="dxa" w:w="2880"/>
            <w:shd w:fill="F2F6FA" w:val="clear"/>
          </w:tcPr>
          <w:p>
            <w:pPr>
              <w:jc w:val="center"/>
            </w:pPr>
            <w:r/>
            <w:r>
              <w:rPr>
                <w:sz w:val="20"/>
              </w:rPr>
              <w:t>Número de cupones utilizados</w:t>
            </w:r>
          </w:p>
        </w:tc>
      </w:tr>
      <w:tr>
        <w:tc>
          <w:tcPr>
            <w:tcW w:type="dxa" w:w="2880"/>
          </w:tcPr>
          <w:p>
            <w:pPr>
              <w:jc w:val="center"/>
            </w:pPr>
            <w:r/>
            <w:r>
              <w:rPr>
                <w:sz w:val="20"/>
              </w:rPr>
              <w:t>Ciudad</w:t>
            </w:r>
          </w:p>
        </w:tc>
        <w:tc>
          <w:tcPr>
            <w:tcW w:type="dxa" w:w="2880"/>
          </w:tcPr>
          <w:p>
            <w:pPr>
              <w:jc w:val="center"/>
            </w:pPr>
            <w:r/>
            <w:r>
              <w:rPr>
                <w:sz w:val="20"/>
              </w:rPr>
              <w:t>str (nominal)</w:t>
            </w:r>
          </w:p>
        </w:tc>
        <w:tc>
          <w:tcPr>
            <w:tcW w:type="dxa" w:w="2880"/>
          </w:tcPr>
          <w:p>
            <w:pPr>
              <w:jc w:val="center"/>
            </w:pPr>
            <w:r/>
            <w:r>
              <w:rPr>
                <w:sz w:val="20"/>
              </w:rPr>
              <w:t>Ciudad de residencia</w:t>
            </w:r>
          </w:p>
        </w:tc>
      </w:tr>
      <w:tr>
        <w:tc>
          <w:tcPr>
            <w:tcW w:type="dxa" w:w="2880"/>
            <w:shd w:fill="F2F6FA" w:val="clear"/>
          </w:tcPr>
          <w:p>
            <w:pPr>
              <w:jc w:val="center"/>
            </w:pPr>
            <w:r/>
            <w:r>
              <w:rPr>
                <w:sz w:val="20"/>
              </w:rPr>
              <w:t>CanalPreferido</w:t>
            </w:r>
          </w:p>
        </w:tc>
        <w:tc>
          <w:tcPr>
            <w:tcW w:type="dxa" w:w="2880"/>
            <w:shd w:fill="F2F6FA" w:val="clear"/>
          </w:tcPr>
          <w:p>
            <w:pPr>
              <w:jc w:val="center"/>
            </w:pPr>
            <w:r/>
            <w:r>
              <w:rPr>
                <w:sz w:val="20"/>
              </w:rPr>
              <w:t>str (nominal)</w:t>
            </w:r>
          </w:p>
        </w:tc>
        <w:tc>
          <w:tcPr>
            <w:tcW w:type="dxa" w:w="2880"/>
            <w:shd w:fill="F2F6FA" w:val="clear"/>
          </w:tcPr>
          <w:p>
            <w:pPr>
              <w:jc w:val="center"/>
            </w:pPr>
            <w:r/>
            <w:r>
              <w:rPr>
                <w:sz w:val="20"/>
              </w:rPr>
              <w:t>Canal de preferencia (Web, Tienda, Teléfono, App)</w:t>
            </w:r>
          </w:p>
        </w:tc>
      </w:tr>
      <w:tr>
        <w:tc>
          <w:tcPr>
            <w:tcW w:type="dxa" w:w="2880"/>
          </w:tcPr>
          <w:p>
            <w:pPr>
              <w:jc w:val="center"/>
            </w:pPr>
            <w:r/>
            <w:r>
              <w:rPr>
                <w:sz w:val="20"/>
              </w:rPr>
              <w:t>ZonaResidencia</w:t>
            </w:r>
          </w:p>
        </w:tc>
        <w:tc>
          <w:tcPr>
            <w:tcW w:type="dxa" w:w="2880"/>
          </w:tcPr>
          <w:p>
            <w:pPr>
              <w:jc w:val="center"/>
            </w:pPr>
            <w:r/>
            <w:r>
              <w:rPr>
                <w:sz w:val="20"/>
              </w:rPr>
              <w:t>str (nominal)</w:t>
            </w:r>
          </w:p>
        </w:tc>
        <w:tc>
          <w:tcPr>
            <w:tcW w:type="dxa" w:w="2880"/>
          </w:tcPr>
          <w:p>
            <w:pPr>
              <w:jc w:val="center"/>
            </w:pPr>
            <w:r/>
            <w:r>
              <w:rPr>
                <w:sz w:val="20"/>
              </w:rPr>
              <w:t>Zona de residencia (Urbana, Suburbana, Rural)</w:t>
            </w:r>
          </w:p>
        </w:tc>
      </w:tr>
      <w:tr>
        <w:tc>
          <w:tcPr>
            <w:tcW w:type="dxa" w:w="2880"/>
            <w:shd w:fill="F2F6FA" w:val="clear"/>
          </w:tcPr>
          <w:p>
            <w:pPr>
              <w:jc w:val="center"/>
            </w:pPr>
            <w:r/>
            <w:r>
              <w:rPr>
                <w:sz w:val="20"/>
              </w:rPr>
              <w:t>Segmento</w:t>
            </w:r>
          </w:p>
        </w:tc>
        <w:tc>
          <w:tcPr>
            <w:tcW w:type="dxa" w:w="2880"/>
            <w:shd w:fill="F2F6FA" w:val="clear"/>
          </w:tcPr>
          <w:p>
            <w:pPr>
              <w:jc w:val="center"/>
            </w:pPr>
            <w:r/>
            <w:r>
              <w:rPr>
                <w:sz w:val="20"/>
              </w:rPr>
              <w:t>str (ordinal)</w:t>
            </w:r>
          </w:p>
        </w:tc>
        <w:tc>
          <w:tcPr>
            <w:tcW w:type="dxa" w:w="2880"/>
            <w:shd w:fill="F2F6FA" w:val="clear"/>
          </w:tcPr>
          <w:p>
            <w:pPr>
              <w:jc w:val="center"/>
            </w:pPr>
            <w:r/>
            <w:r>
              <w:rPr>
                <w:sz w:val="20"/>
              </w:rPr>
              <w:t>Segmento del cliente (Básico, Medio, Premium)</w:t>
            </w:r>
          </w:p>
        </w:tc>
      </w:tr>
      <w:tr>
        <w:tc>
          <w:tcPr>
            <w:tcW w:type="dxa" w:w="2880"/>
          </w:tcPr>
          <w:p>
            <w:pPr>
              <w:jc w:val="center"/>
            </w:pPr>
            <w:r/>
            <w:r>
              <w:rPr>
                <w:sz w:val="20"/>
              </w:rPr>
              <w:t>Satisfaccion</w:t>
            </w:r>
          </w:p>
        </w:tc>
        <w:tc>
          <w:tcPr>
            <w:tcW w:type="dxa" w:w="2880"/>
          </w:tcPr>
          <w:p>
            <w:pPr>
              <w:jc w:val="center"/>
            </w:pPr>
            <w:r/>
            <w:r>
              <w:rPr>
                <w:sz w:val="20"/>
              </w:rPr>
              <w:t>str (ordinal)</w:t>
            </w:r>
          </w:p>
        </w:tc>
        <w:tc>
          <w:tcPr>
            <w:tcW w:type="dxa" w:w="2880"/>
          </w:tcPr>
          <w:p>
            <w:pPr>
              <w:jc w:val="center"/>
            </w:pPr>
            <w:r/>
            <w:r>
              <w:rPr>
                <w:sz w:val="20"/>
              </w:rPr>
              <w:t>Nivel de satisfacción (Baja, Media, Alta)</w:t>
            </w:r>
          </w:p>
        </w:tc>
      </w:tr>
      <w:tr>
        <w:tc>
          <w:tcPr>
            <w:tcW w:type="dxa" w:w="2880"/>
            <w:shd w:fill="F2F6FA" w:val="clear"/>
          </w:tcPr>
          <w:p>
            <w:pPr>
              <w:jc w:val="center"/>
            </w:pPr>
            <w:r/>
            <w:r>
              <w:rPr>
                <w:sz w:val="20"/>
              </w:rPr>
              <w:t>CodigoCampania</w:t>
            </w:r>
          </w:p>
        </w:tc>
        <w:tc>
          <w:tcPr>
            <w:tcW w:type="dxa" w:w="2880"/>
            <w:shd w:fill="F2F6FA" w:val="clear"/>
          </w:tcPr>
          <w:p>
            <w:pPr>
              <w:jc w:val="center"/>
            </w:pPr>
            <w:r/>
            <w:r>
              <w:rPr>
                <w:sz w:val="20"/>
              </w:rPr>
              <w:t>str</w:t>
            </w:r>
          </w:p>
        </w:tc>
        <w:tc>
          <w:tcPr>
            <w:tcW w:type="dxa" w:w="2880"/>
            <w:shd w:fill="F2F6FA" w:val="clear"/>
          </w:tcPr>
          <w:p>
            <w:pPr>
              <w:jc w:val="center"/>
            </w:pPr>
            <w:r/>
            <w:r>
              <w:rPr>
                <w:sz w:val="20"/>
              </w:rPr>
              <w:t>Código de campaña asignado</w:t>
            </w:r>
          </w:p>
        </w:tc>
      </w:tr>
      <w:tr>
        <w:tc>
          <w:tcPr>
            <w:tcW w:type="dxa" w:w="2880"/>
          </w:tcPr>
          <w:p>
            <w:pPr>
              <w:jc w:val="center"/>
            </w:pPr>
            <w:r/>
            <w:r>
              <w:rPr>
                <w:sz w:val="20"/>
              </w:rPr>
              <w:t>Abandono</w:t>
            </w:r>
          </w:p>
        </w:tc>
        <w:tc>
          <w:tcPr>
            <w:tcW w:type="dxa" w:w="2880"/>
          </w:tcPr>
          <w:p>
            <w:pPr>
              <w:jc w:val="center"/>
            </w:pPr>
            <w:r/>
            <w:r>
              <w:rPr>
                <w:sz w:val="20"/>
              </w:rPr>
              <w:t>int64</w:t>
            </w:r>
          </w:p>
        </w:tc>
        <w:tc>
          <w:tcPr>
            <w:tcW w:type="dxa" w:w="2880"/>
          </w:tcPr>
          <w:p>
            <w:pPr>
              <w:jc w:val="center"/>
            </w:pPr>
            <w:r/>
            <w:r>
              <w:rPr>
                <w:sz w:val="20"/>
              </w:rPr>
              <w:t>Indicador de abandono (0=No, 1=Sí) - NO usado para clustering</w:t>
            </w:r>
          </w:p>
        </w:tc>
      </w:tr>
    </w:tbl>
    <w:p>
      <w:r>
        <w:rPr>
          <w:i/>
          <w:color w:val="1B3A6B"/>
          <w:sz w:val="20"/>
        </w:rPr>
        <w:t>Nota: La variable Abandono no se utilizó para entrenar el clustering. Solo se empleó al final como comparación externa para validar los segmentos encontrados.</w:t>
      </w:r>
    </w:p>
    <w:p>
      <w:pPr>
        <w:pStyle w:val="Heading1"/>
      </w:pPr>
      <w:r>
        <w:t>5. Determinación del Número Óptimo de Clusters (k)</w:t>
      </w:r>
    </w:p>
    <w:p>
      <w:pPr>
        <w:pStyle w:val="Heading2"/>
      </w:pPr>
      <w:r>
        <w:t>5.1 Método del Codo</w:t>
      </w:r>
    </w:p>
    <w:p>
      <w:r>
        <w:t>El método del codo evalúa la inercia (suma de distancias al cuadrado de cada punto a su centroide) para distintos valores de k. El "codo" es el punto donde la reducción de la inercia se vuelve marginal, indicando un equilibrio entre ajuste y simplicidad.</w:t>
      </w:r>
    </w:p>
    <w:p>
      <w:r>
        <w:t>Se evaluaron k desde 2 hasta 10, obteniendo los siguientes resultados: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3A6B" w:val="clear"/>
          </w:tcPr>
          <w:p>
            <w:pPr>
              <w:jc w:val="center"/>
            </w:pPr>
            <w:r/>
            <w:r>
              <w:rPr>
                <w:b/>
                <w:color w:val="FFFFFF"/>
                <w:sz w:val="20"/>
              </w:rPr>
              <w:t>k</w:t>
            </w:r>
          </w:p>
        </w:tc>
        <w:tc>
          <w:tcPr>
            <w:tcW w:type="dxa" w:w="1728"/>
            <w:shd w:fill="1B3A6B" w:val="clear"/>
          </w:tcPr>
          <w:p>
            <w:pPr>
              <w:jc w:val="center"/>
            </w:pPr>
            <w:r/>
            <w:r>
              <w:rPr>
                <w:b/>
                <w:color w:val="FFFFFF"/>
                <w:sz w:val="20"/>
              </w:rPr>
              <w:t>Inercia</w:t>
            </w:r>
          </w:p>
        </w:tc>
        <w:tc>
          <w:tcPr>
            <w:tcW w:type="dxa" w:w="1728"/>
            <w:shd w:fill="1B3A6B" w:val="clear"/>
          </w:tcPr>
          <w:p>
            <w:pPr>
              <w:jc w:val="center"/>
            </w:pPr>
            <w:r/>
            <w:r>
              <w:rPr>
                <w:b/>
                <w:color w:val="FFFFFF"/>
                <w:sz w:val="20"/>
              </w:rPr>
              <w:t>Reducción Inercia</w:t>
            </w:r>
          </w:p>
        </w:tc>
        <w:tc>
          <w:tcPr>
            <w:tcW w:type="dxa" w:w="1728"/>
            <w:shd w:fill="1B3A6B" w:val="clear"/>
          </w:tcPr>
          <w:p>
            <w:pPr>
              <w:jc w:val="center"/>
            </w:pPr>
            <w:r/>
            <w:r>
              <w:rPr>
                <w:b/>
                <w:color w:val="FFFFFF"/>
                <w:sz w:val="20"/>
              </w:rPr>
              <w:t>Reducción %</w:t>
            </w:r>
          </w:p>
        </w:tc>
        <w:tc>
          <w:tcPr>
            <w:tcW w:type="dxa" w:w="1728"/>
            <w:shd w:fill="1B3A6B" w:val="clear"/>
          </w:tcPr>
          <w:p>
            <w:pPr>
              <w:jc w:val="center"/>
            </w:pPr>
            <w:r/>
            <w:r>
              <w:rPr>
                <w:b/>
                <w:color w:val="FFFFFF"/>
                <w:sz w:val="20"/>
              </w:rPr>
              <w:t>Silhouette Score</w:t>
            </w:r>
          </w:p>
        </w:tc>
      </w:tr>
      <w:tr>
        <w:tc>
          <w:tcPr>
            <w:tcW w:type="dxa" w:w="1728"/>
            <w:shd w:fill="F2F6FA" w:val="clear"/>
          </w:tcPr>
          <w:p>
            <w:pPr>
              <w:jc w:val="center"/>
            </w:pPr>
            <w:r/>
            <w:r>
              <w:rPr>
                <w:sz w:val="20"/>
              </w:rPr>
              <w:t>2</w:t>
            </w:r>
          </w:p>
        </w:tc>
        <w:tc>
          <w:tcPr>
            <w:tcW w:type="dxa" w:w="1728"/>
            <w:shd w:fill="F2F6FA" w:val="clear"/>
          </w:tcPr>
          <w:p>
            <w:pPr>
              <w:jc w:val="center"/>
            </w:pPr>
            <w:r/>
            <w:r>
              <w:rPr>
                <w:sz w:val="20"/>
              </w:rPr>
              <w:t>4974.43</w:t>
            </w:r>
          </w:p>
        </w:tc>
        <w:tc>
          <w:tcPr>
            <w:tcW w:type="dxa" w:w="1728"/>
            <w:shd w:fill="F2F6FA" w:val="clear"/>
          </w:tcPr>
          <w:p>
            <w:pPr>
              <w:jc w:val="center"/>
            </w:pPr>
            <w:r/>
            <w:r>
              <w:rPr>
                <w:sz w:val="20"/>
              </w:rPr>
              <w:t>-</w:t>
            </w:r>
          </w:p>
        </w:tc>
        <w:tc>
          <w:tcPr>
            <w:tcW w:type="dxa" w:w="1728"/>
            <w:shd w:fill="F2F6FA" w:val="clear"/>
          </w:tcPr>
          <w:p>
            <w:pPr>
              <w:jc w:val="center"/>
            </w:pPr>
            <w:r/>
            <w:r>
              <w:rPr>
                <w:sz w:val="20"/>
              </w:rPr>
              <w:t>-</w:t>
            </w:r>
          </w:p>
        </w:tc>
        <w:tc>
          <w:tcPr>
            <w:tcW w:type="dxa" w:w="1728"/>
            <w:shd w:fill="F2F6FA" w:val="clear"/>
          </w:tcPr>
          <w:p>
            <w:pPr>
              <w:jc w:val="center"/>
            </w:pPr>
            <w:r/>
            <w:r>
              <w:rPr>
                <w:sz w:val="20"/>
              </w:rPr>
              <w:t>0.0986</w:t>
            </w:r>
          </w:p>
        </w:tc>
      </w:tr>
      <w:tr>
        <w:tc>
          <w:tcPr>
            <w:tcW w:type="dxa" w:w="1728"/>
          </w:tcPr>
          <w:p>
            <w:pPr>
              <w:jc w:val="center"/>
            </w:pPr>
            <w:r/>
            <w:r>
              <w:rPr>
                <w:sz w:val="20"/>
              </w:rPr>
              <w:t>3</w:t>
            </w:r>
          </w:p>
        </w:tc>
        <w:tc>
          <w:tcPr>
            <w:tcW w:type="dxa" w:w="1728"/>
          </w:tcPr>
          <w:p>
            <w:pPr>
              <w:jc w:val="center"/>
            </w:pPr>
            <w:r/>
            <w:r>
              <w:rPr>
                <w:sz w:val="20"/>
              </w:rPr>
              <w:t>4615.08</w:t>
            </w:r>
          </w:p>
        </w:tc>
        <w:tc>
          <w:tcPr>
            <w:tcW w:type="dxa" w:w="1728"/>
          </w:tcPr>
          <w:p>
            <w:pPr>
              <w:jc w:val="center"/>
            </w:pPr>
            <w:r/>
            <w:r>
              <w:rPr>
                <w:sz w:val="20"/>
              </w:rPr>
              <w:t>359.35</w:t>
            </w:r>
          </w:p>
        </w:tc>
        <w:tc>
          <w:tcPr>
            <w:tcW w:type="dxa" w:w="1728"/>
          </w:tcPr>
          <w:p>
            <w:pPr>
              <w:jc w:val="center"/>
            </w:pPr>
            <w:r/>
            <w:r>
              <w:rPr>
                <w:sz w:val="20"/>
              </w:rPr>
              <w:t>7.22</w:t>
            </w:r>
          </w:p>
        </w:tc>
        <w:tc>
          <w:tcPr>
            <w:tcW w:type="dxa" w:w="1728"/>
          </w:tcPr>
          <w:p>
            <w:pPr>
              <w:jc w:val="center"/>
            </w:pPr>
            <w:r/>
            <w:r>
              <w:rPr>
                <w:sz w:val="20"/>
              </w:rPr>
              <w:t>0.0823</w:t>
            </w:r>
          </w:p>
        </w:tc>
      </w:tr>
      <w:tr>
        <w:tc>
          <w:tcPr>
            <w:tcW w:type="dxa" w:w="1728"/>
            <w:shd w:fill="F2F6FA" w:val="clear"/>
          </w:tcPr>
          <w:p>
            <w:pPr>
              <w:jc w:val="center"/>
            </w:pPr>
            <w:r/>
            <w:r>
              <w:rPr>
                <w:sz w:val="20"/>
              </w:rPr>
              <w:t>4</w:t>
            </w:r>
          </w:p>
        </w:tc>
        <w:tc>
          <w:tcPr>
            <w:tcW w:type="dxa" w:w="1728"/>
            <w:shd w:fill="F2F6FA" w:val="clear"/>
          </w:tcPr>
          <w:p>
            <w:pPr>
              <w:jc w:val="center"/>
            </w:pPr>
            <w:r/>
            <w:r>
              <w:rPr>
                <w:sz w:val="20"/>
              </w:rPr>
              <w:t>4422.23</w:t>
            </w:r>
          </w:p>
        </w:tc>
        <w:tc>
          <w:tcPr>
            <w:tcW w:type="dxa" w:w="1728"/>
            <w:shd w:fill="F2F6FA" w:val="clear"/>
          </w:tcPr>
          <w:p>
            <w:pPr>
              <w:jc w:val="center"/>
            </w:pPr>
            <w:r/>
            <w:r>
              <w:rPr>
                <w:sz w:val="20"/>
              </w:rPr>
              <w:t>192.86</w:t>
            </w:r>
          </w:p>
        </w:tc>
        <w:tc>
          <w:tcPr>
            <w:tcW w:type="dxa" w:w="1728"/>
            <w:shd w:fill="F2F6FA" w:val="clear"/>
          </w:tcPr>
          <w:p>
            <w:pPr>
              <w:jc w:val="center"/>
            </w:pPr>
            <w:r/>
            <w:r>
              <w:rPr>
                <w:sz w:val="20"/>
              </w:rPr>
              <w:t>4.18</w:t>
            </w:r>
          </w:p>
        </w:tc>
        <w:tc>
          <w:tcPr>
            <w:tcW w:type="dxa" w:w="1728"/>
            <w:shd w:fill="F2F6FA" w:val="clear"/>
          </w:tcPr>
          <w:p>
            <w:pPr>
              <w:jc w:val="center"/>
            </w:pPr>
            <w:r/>
            <w:r>
              <w:rPr>
                <w:sz w:val="20"/>
              </w:rPr>
              <w:t>0.0723</w:t>
            </w:r>
          </w:p>
        </w:tc>
      </w:tr>
      <w:tr>
        <w:tc>
          <w:tcPr>
            <w:tcW w:type="dxa" w:w="1728"/>
          </w:tcPr>
          <w:p>
            <w:pPr>
              <w:jc w:val="center"/>
            </w:pPr>
            <w:r/>
            <w:r>
              <w:rPr>
                <w:sz w:val="20"/>
              </w:rPr>
              <w:t>5</w:t>
            </w:r>
          </w:p>
        </w:tc>
        <w:tc>
          <w:tcPr>
            <w:tcW w:type="dxa" w:w="1728"/>
          </w:tcPr>
          <w:p>
            <w:pPr>
              <w:jc w:val="center"/>
            </w:pPr>
            <w:r/>
            <w:r>
              <w:rPr>
                <w:sz w:val="20"/>
              </w:rPr>
              <w:t>4261.72</w:t>
            </w:r>
          </w:p>
        </w:tc>
        <w:tc>
          <w:tcPr>
            <w:tcW w:type="dxa" w:w="1728"/>
          </w:tcPr>
          <w:p>
            <w:pPr>
              <w:jc w:val="center"/>
            </w:pPr>
            <w:r/>
            <w:r>
              <w:rPr>
                <w:sz w:val="20"/>
              </w:rPr>
              <w:t>160.50</w:t>
            </w:r>
          </w:p>
        </w:tc>
        <w:tc>
          <w:tcPr>
            <w:tcW w:type="dxa" w:w="1728"/>
          </w:tcPr>
          <w:p>
            <w:pPr>
              <w:jc w:val="center"/>
            </w:pPr>
            <w:r/>
            <w:r>
              <w:rPr>
                <w:sz w:val="20"/>
              </w:rPr>
              <w:t>3.63</w:t>
            </w:r>
          </w:p>
        </w:tc>
        <w:tc>
          <w:tcPr>
            <w:tcW w:type="dxa" w:w="1728"/>
          </w:tcPr>
          <w:p>
            <w:pPr>
              <w:jc w:val="center"/>
            </w:pPr>
            <w:r/>
            <w:r>
              <w:rPr>
                <w:sz w:val="20"/>
              </w:rPr>
              <w:t>0.0710</w:t>
            </w:r>
          </w:p>
        </w:tc>
      </w:tr>
      <w:tr>
        <w:tc>
          <w:tcPr>
            <w:tcW w:type="dxa" w:w="1728"/>
            <w:shd w:fill="F2F6FA" w:val="clear"/>
          </w:tcPr>
          <w:p>
            <w:pPr>
              <w:jc w:val="center"/>
            </w:pPr>
            <w:r/>
            <w:r>
              <w:rPr>
                <w:sz w:val="20"/>
              </w:rPr>
              <w:t>6</w:t>
            </w:r>
          </w:p>
        </w:tc>
        <w:tc>
          <w:tcPr>
            <w:tcW w:type="dxa" w:w="1728"/>
            <w:shd w:fill="F2F6FA" w:val="clear"/>
          </w:tcPr>
          <w:p>
            <w:pPr>
              <w:jc w:val="center"/>
            </w:pPr>
            <w:r/>
            <w:r>
              <w:rPr>
                <w:sz w:val="20"/>
              </w:rPr>
              <w:t>4139.85</w:t>
            </w:r>
          </w:p>
        </w:tc>
        <w:tc>
          <w:tcPr>
            <w:tcW w:type="dxa" w:w="1728"/>
            <w:shd w:fill="F2F6FA" w:val="clear"/>
          </w:tcPr>
          <w:p>
            <w:pPr>
              <w:jc w:val="center"/>
            </w:pPr>
            <w:r/>
            <w:r>
              <w:rPr>
                <w:sz w:val="20"/>
              </w:rPr>
              <w:t>121.87</w:t>
            </w:r>
          </w:p>
        </w:tc>
        <w:tc>
          <w:tcPr>
            <w:tcW w:type="dxa" w:w="1728"/>
            <w:shd w:fill="F2F6FA" w:val="clear"/>
          </w:tcPr>
          <w:p>
            <w:pPr>
              <w:jc w:val="center"/>
            </w:pPr>
            <w:r/>
            <w:r>
              <w:rPr>
                <w:sz w:val="20"/>
              </w:rPr>
              <w:t>2.86</w:t>
            </w:r>
          </w:p>
        </w:tc>
        <w:tc>
          <w:tcPr>
            <w:tcW w:type="dxa" w:w="1728"/>
            <w:shd w:fill="F2F6FA" w:val="clear"/>
          </w:tcPr>
          <w:p>
            <w:pPr>
              <w:jc w:val="center"/>
            </w:pPr>
            <w:r/>
            <w:r>
              <w:rPr>
                <w:sz w:val="20"/>
              </w:rPr>
              <w:t>0.0653</w:t>
            </w:r>
          </w:p>
        </w:tc>
      </w:tr>
      <w:tr>
        <w:tc>
          <w:tcPr>
            <w:tcW w:type="dxa" w:w="1728"/>
          </w:tcPr>
          <w:p>
            <w:pPr>
              <w:jc w:val="center"/>
            </w:pPr>
            <w:r/>
            <w:r>
              <w:rPr>
                <w:sz w:val="20"/>
              </w:rPr>
              <w:t>7</w:t>
            </w:r>
          </w:p>
        </w:tc>
        <w:tc>
          <w:tcPr>
            <w:tcW w:type="dxa" w:w="1728"/>
          </w:tcPr>
          <w:p>
            <w:pPr>
              <w:jc w:val="center"/>
            </w:pPr>
            <w:r/>
            <w:r>
              <w:rPr>
                <w:sz w:val="20"/>
              </w:rPr>
              <w:t>4029.71</w:t>
            </w:r>
          </w:p>
        </w:tc>
        <w:tc>
          <w:tcPr>
            <w:tcW w:type="dxa" w:w="1728"/>
          </w:tcPr>
          <w:p>
            <w:pPr>
              <w:jc w:val="center"/>
            </w:pPr>
            <w:r/>
            <w:r>
              <w:rPr>
                <w:sz w:val="20"/>
              </w:rPr>
              <w:t>110.14</w:t>
            </w:r>
          </w:p>
        </w:tc>
        <w:tc>
          <w:tcPr>
            <w:tcW w:type="dxa" w:w="1728"/>
          </w:tcPr>
          <w:p>
            <w:pPr>
              <w:jc w:val="center"/>
            </w:pPr>
            <w:r/>
            <w:r>
              <w:rPr>
                <w:sz w:val="20"/>
              </w:rPr>
              <w:t>2.66</w:t>
            </w:r>
          </w:p>
        </w:tc>
        <w:tc>
          <w:tcPr>
            <w:tcW w:type="dxa" w:w="1728"/>
          </w:tcPr>
          <w:p>
            <w:pPr>
              <w:jc w:val="center"/>
            </w:pPr>
            <w:r/>
            <w:r>
              <w:rPr>
                <w:sz w:val="20"/>
              </w:rPr>
              <w:t>0.0662</w:t>
            </w:r>
          </w:p>
        </w:tc>
      </w:tr>
      <w:tr>
        <w:tc>
          <w:tcPr>
            <w:tcW w:type="dxa" w:w="1728"/>
            <w:shd w:fill="F2F6FA" w:val="clear"/>
          </w:tcPr>
          <w:p>
            <w:pPr>
              <w:jc w:val="center"/>
            </w:pPr>
            <w:r/>
            <w:r>
              <w:rPr>
                <w:sz w:val="20"/>
              </w:rPr>
              <w:t>8</w:t>
            </w:r>
          </w:p>
        </w:tc>
        <w:tc>
          <w:tcPr>
            <w:tcW w:type="dxa" w:w="1728"/>
            <w:shd w:fill="F2F6FA" w:val="clear"/>
          </w:tcPr>
          <w:p>
            <w:pPr>
              <w:jc w:val="center"/>
            </w:pPr>
            <w:r/>
            <w:r>
              <w:rPr>
                <w:sz w:val="20"/>
              </w:rPr>
              <w:t>3939.33</w:t>
            </w:r>
          </w:p>
        </w:tc>
        <w:tc>
          <w:tcPr>
            <w:tcW w:type="dxa" w:w="1728"/>
            <w:shd w:fill="F2F6FA" w:val="clear"/>
          </w:tcPr>
          <w:p>
            <w:pPr>
              <w:jc w:val="center"/>
            </w:pPr>
            <w:r/>
            <w:r>
              <w:rPr>
                <w:sz w:val="20"/>
              </w:rPr>
              <w:t>90.38</w:t>
            </w:r>
          </w:p>
        </w:tc>
        <w:tc>
          <w:tcPr>
            <w:tcW w:type="dxa" w:w="1728"/>
            <w:shd w:fill="F2F6FA" w:val="clear"/>
          </w:tcPr>
          <w:p>
            <w:pPr>
              <w:jc w:val="center"/>
            </w:pPr>
            <w:r/>
            <w:r>
              <w:rPr>
                <w:sz w:val="20"/>
              </w:rPr>
              <w:t>2.24</w:t>
            </w:r>
          </w:p>
        </w:tc>
        <w:tc>
          <w:tcPr>
            <w:tcW w:type="dxa" w:w="1728"/>
            <w:shd w:fill="F2F6FA" w:val="clear"/>
          </w:tcPr>
          <w:p>
            <w:pPr>
              <w:jc w:val="center"/>
            </w:pPr>
            <w:r/>
            <w:r>
              <w:rPr>
                <w:sz w:val="20"/>
              </w:rPr>
              <w:t>0.0661</w:t>
            </w:r>
          </w:p>
        </w:tc>
      </w:tr>
      <w:tr>
        <w:tc>
          <w:tcPr>
            <w:tcW w:type="dxa" w:w="1728"/>
          </w:tcPr>
          <w:p>
            <w:pPr>
              <w:jc w:val="center"/>
            </w:pPr>
            <w:r/>
            <w:r>
              <w:rPr>
                <w:sz w:val="20"/>
              </w:rPr>
              <w:t>9</w:t>
            </w:r>
          </w:p>
        </w:tc>
        <w:tc>
          <w:tcPr>
            <w:tcW w:type="dxa" w:w="1728"/>
          </w:tcPr>
          <w:p>
            <w:pPr>
              <w:jc w:val="center"/>
            </w:pPr>
            <w:r/>
            <w:r>
              <w:rPr>
                <w:sz w:val="20"/>
              </w:rPr>
              <w:t>3852.60</w:t>
            </w:r>
          </w:p>
        </w:tc>
        <w:tc>
          <w:tcPr>
            <w:tcW w:type="dxa" w:w="1728"/>
          </w:tcPr>
          <w:p>
            <w:pPr>
              <w:jc w:val="center"/>
            </w:pPr>
            <w:r/>
            <w:r>
              <w:rPr>
                <w:sz w:val="20"/>
              </w:rPr>
              <w:t>86.73</w:t>
            </w:r>
          </w:p>
        </w:tc>
        <w:tc>
          <w:tcPr>
            <w:tcW w:type="dxa" w:w="1728"/>
          </w:tcPr>
          <w:p>
            <w:pPr>
              <w:jc w:val="center"/>
            </w:pPr>
            <w:r/>
            <w:r>
              <w:rPr>
                <w:sz w:val="20"/>
              </w:rPr>
              <w:t>2.20</w:t>
            </w:r>
          </w:p>
        </w:tc>
        <w:tc>
          <w:tcPr>
            <w:tcW w:type="dxa" w:w="1728"/>
          </w:tcPr>
          <w:p>
            <w:pPr>
              <w:jc w:val="center"/>
            </w:pPr>
            <w:r/>
            <w:r>
              <w:rPr>
                <w:sz w:val="20"/>
              </w:rPr>
              <w:t>0.0650</w:t>
            </w:r>
          </w:p>
        </w:tc>
      </w:tr>
      <w:tr>
        <w:tc>
          <w:tcPr>
            <w:tcW w:type="dxa" w:w="1728"/>
            <w:shd w:fill="F2F6FA" w:val="clear"/>
          </w:tcPr>
          <w:p>
            <w:pPr>
              <w:jc w:val="center"/>
            </w:pPr>
            <w:r/>
            <w:r>
              <w:rPr>
                <w:sz w:val="20"/>
              </w:rPr>
              <w:t>10</w:t>
            </w:r>
          </w:p>
        </w:tc>
        <w:tc>
          <w:tcPr>
            <w:tcW w:type="dxa" w:w="1728"/>
            <w:shd w:fill="F2F6FA" w:val="clear"/>
          </w:tcPr>
          <w:p>
            <w:pPr>
              <w:jc w:val="center"/>
            </w:pPr>
            <w:r/>
            <w:r>
              <w:rPr>
                <w:sz w:val="20"/>
              </w:rPr>
              <w:t>3784.10</w:t>
            </w:r>
          </w:p>
        </w:tc>
        <w:tc>
          <w:tcPr>
            <w:tcW w:type="dxa" w:w="1728"/>
            <w:shd w:fill="F2F6FA" w:val="clear"/>
          </w:tcPr>
          <w:p>
            <w:pPr>
              <w:jc w:val="center"/>
            </w:pPr>
            <w:r/>
            <w:r>
              <w:rPr>
                <w:sz w:val="20"/>
              </w:rPr>
              <w:t>68.50</w:t>
            </w:r>
          </w:p>
        </w:tc>
        <w:tc>
          <w:tcPr>
            <w:tcW w:type="dxa" w:w="1728"/>
            <w:shd w:fill="F2F6FA" w:val="clear"/>
          </w:tcPr>
          <w:p>
            <w:pPr>
              <w:jc w:val="center"/>
            </w:pPr>
            <w:r/>
            <w:r>
              <w:rPr>
                <w:sz w:val="20"/>
              </w:rPr>
              <w:t>1.78</w:t>
            </w:r>
          </w:p>
        </w:tc>
        <w:tc>
          <w:tcPr>
            <w:tcW w:type="dxa" w:w="1728"/>
            <w:shd w:fill="F2F6FA" w:val="clear"/>
          </w:tcPr>
          <w:p>
            <w:pPr>
              <w:jc w:val="center"/>
            </w:pPr>
            <w:r/>
            <w:r>
              <w:rPr>
                <w:sz w:val="20"/>
              </w:rPr>
              <w:t>0.0637</w:t>
            </w:r>
          </w:p>
        </w:tc>
      </w:tr>
    </w:tbl>
    <w:p>
      <w:r>
        <w:t>Se observa que la reducción porcentual más significativa ocurre en k=3 (7.22%), mientras que a partir de k=4 la reducción disminuye progresivamente (4.18%, 3.63%, etc.). Esto sugiere un codo en k=3.</w:t>
      </w:r>
    </w:p>
    <w:p>
      <w:r>
        <w:drawing>
          <wp:inline xmlns:a="http://schemas.openxmlformats.org/drawingml/2006/main" xmlns:pic="http://schemas.openxmlformats.org/drawingml/2006/picture">
            <wp:extent cx="5029200" cy="2942457"/>
            <wp:docPr id="1" name="Picture 1"/>
            <wp:cNvGraphicFramePr>
              <a:graphicFrameLocks noChangeAspect="1"/>
            </wp:cNvGraphicFramePr>
            <a:graphic>
              <a:graphicData uri="http://schemas.openxmlformats.org/drawingml/2006/picture">
                <pic:pic>
                  <pic:nvPicPr>
                    <pic:cNvPr id="0" name="fig_codo.png"/>
                    <pic:cNvPicPr/>
                  </pic:nvPicPr>
                  <pic:blipFill>
                    <a:blip r:embed="rId9"/>
                    <a:stretch>
                      <a:fillRect/>
                    </a:stretch>
                  </pic:blipFill>
                  <pic:spPr>
                    <a:xfrm>
                      <a:off x="0" y="0"/>
                      <a:ext cx="5029200" cy="2942457"/>
                    </a:xfrm>
                    <a:prstGeom prst="rect"/>
                  </pic:spPr>
                </pic:pic>
              </a:graphicData>
            </a:graphic>
          </wp:inline>
        </w:drawing>
      </w:r>
    </w:p>
    <w:p>
      <w:pPr>
        <w:jc w:val="center"/>
      </w:pPr>
      <w:r>
        <w:rPr>
          <w:i/>
          <w:color w:val="AAAAAA"/>
          <w:sz w:val="18"/>
        </w:rPr>
        <w:t>Figura 1: Método del codo - Inercia según número de clusters (k=2 a k=10)</w:t>
      </w:r>
    </w:p>
    <w:p>
      <w:pPr>
        <w:pStyle w:val="Heading2"/>
      </w:pPr>
      <w:r>
        <w:t>5.2 Coeficiente de Silhouette</w:t>
      </w:r>
    </w:p>
    <w:p>
      <w:r>
        <w:t>El coeficiente de Silhouette mide qué tan similares son los puntos dentro de un cluster comparado con otros clusters. Su valor oscila entre -1 (mal asignado) y 1 (bien asignado). Los resultados fueron:</w:t>
      </w:r>
    </w:p>
    <w:tbl>
      <w:tblPr>
        <w:tblStyle w:val="TableGrid"/>
        <w:tblW w:type="auto" w:w="0"/>
        <w:jc w:val="center"/>
        <w:tblLook w:firstColumn="1" w:firstRow="1" w:lastColumn="0" w:lastRow="0" w:noHBand="0" w:noVBand="1" w:val="04A0"/>
      </w:tblPr>
      <w:tblGrid>
        <w:gridCol w:w="4320"/>
        <w:gridCol w:w="4320"/>
      </w:tblGrid>
      <w:tr>
        <w:tc>
          <w:tcPr>
            <w:tcW w:type="dxa" w:w="4320"/>
            <w:shd w:fill="1B3A6B" w:val="clear"/>
          </w:tcPr>
          <w:p>
            <w:pPr>
              <w:jc w:val="center"/>
            </w:pPr>
            <w:r/>
            <w:r>
              <w:rPr>
                <w:b/>
                <w:color w:val="FFFFFF"/>
                <w:sz w:val="20"/>
              </w:rPr>
              <w:t>k</w:t>
            </w:r>
          </w:p>
        </w:tc>
        <w:tc>
          <w:tcPr>
            <w:tcW w:type="dxa" w:w="4320"/>
            <w:shd w:fill="1B3A6B" w:val="clear"/>
          </w:tcPr>
          <w:p>
            <w:pPr>
              <w:jc w:val="center"/>
            </w:pPr>
            <w:r/>
            <w:r>
              <w:rPr>
                <w:b/>
                <w:color w:val="FFFFFF"/>
                <w:sz w:val="20"/>
              </w:rPr>
              <w:t>Silhouette Score</w:t>
            </w:r>
          </w:p>
        </w:tc>
      </w:tr>
      <w:tr>
        <w:tc>
          <w:tcPr>
            <w:tcW w:type="dxa" w:w="4320"/>
            <w:shd w:fill="F2F6FA" w:val="clear"/>
          </w:tcPr>
          <w:p>
            <w:pPr>
              <w:jc w:val="center"/>
            </w:pPr>
            <w:r/>
            <w:r>
              <w:rPr>
                <w:sz w:val="20"/>
              </w:rPr>
              <w:t>2</w:t>
            </w:r>
          </w:p>
        </w:tc>
        <w:tc>
          <w:tcPr>
            <w:tcW w:type="dxa" w:w="4320"/>
            <w:shd w:fill="F2F6FA" w:val="clear"/>
          </w:tcPr>
          <w:p>
            <w:pPr>
              <w:jc w:val="center"/>
            </w:pPr>
            <w:r/>
            <w:r>
              <w:rPr>
                <w:sz w:val="20"/>
              </w:rPr>
              <w:t>0.0986</w:t>
            </w:r>
          </w:p>
        </w:tc>
      </w:tr>
      <w:tr>
        <w:tc>
          <w:tcPr>
            <w:tcW w:type="dxa" w:w="4320"/>
          </w:tcPr>
          <w:p>
            <w:pPr>
              <w:jc w:val="center"/>
            </w:pPr>
            <w:r/>
            <w:r>
              <w:rPr>
                <w:sz w:val="20"/>
              </w:rPr>
              <w:t>3</w:t>
            </w:r>
          </w:p>
        </w:tc>
        <w:tc>
          <w:tcPr>
            <w:tcW w:type="dxa" w:w="4320"/>
          </w:tcPr>
          <w:p>
            <w:pPr>
              <w:jc w:val="center"/>
            </w:pPr>
            <w:r/>
            <w:r>
              <w:rPr>
                <w:sz w:val="20"/>
              </w:rPr>
              <w:t>0.0823</w:t>
            </w:r>
          </w:p>
        </w:tc>
      </w:tr>
      <w:tr>
        <w:tc>
          <w:tcPr>
            <w:tcW w:type="dxa" w:w="4320"/>
            <w:shd w:fill="F2F6FA" w:val="clear"/>
          </w:tcPr>
          <w:p>
            <w:pPr>
              <w:jc w:val="center"/>
            </w:pPr>
            <w:r/>
            <w:r>
              <w:rPr>
                <w:sz w:val="20"/>
              </w:rPr>
              <w:t>4</w:t>
            </w:r>
          </w:p>
        </w:tc>
        <w:tc>
          <w:tcPr>
            <w:tcW w:type="dxa" w:w="4320"/>
            <w:shd w:fill="F2F6FA" w:val="clear"/>
          </w:tcPr>
          <w:p>
            <w:pPr>
              <w:jc w:val="center"/>
            </w:pPr>
            <w:r/>
            <w:r>
              <w:rPr>
                <w:sz w:val="20"/>
              </w:rPr>
              <w:t>0.0723</w:t>
            </w:r>
          </w:p>
        </w:tc>
      </w:tr>
      <w:tr>
        <w:tc>
          <w:tcPr>
            <w:tcW w:type="dxa" w:w="4320"/>
          </w:tcPr>
          <w:p>
            <w:pPr>
              <w:jc w:val="center"/>
            </w:pPr>
            <w:r/>
            <w:r>
              <w:rPr>
                <w:sz w:val="20"/>
              </w:rPr>
              <w:t>5</w:t>
            </w:r>
          </w:p>
        </w:tc>
        <w:tc>
          <w:tcPr>
            <w:tcW w:type="dxa" w:w="4320"/>
          </w:tcPr>
          <w:p>
            <w:pPr>
              <w:jc w:val="center"/>
            </w:pPr>
            <w:r/>
            <w:r>
              <w:rPr>
                <w:sz w:val="20"/>
              </w:rPr>
              <w:t>0.0710</w:t>
            </w:r>
          </w:p>
        </w:tc>
      </w:tr>
      <w:tr>
        <w:tc>
          <w:tcPr>
            <w:tcW w:type="dxa" w:w="4320"/>
            <w:shd w:fill="F2F6FA" w:val="clear"/>
          </w:tcPr>
          <w:p>
            <w:pPr>
              <w:jc w:val="center"/>
            </w:pPr>
            <w:r/>
            <w:r>
              <w:rPr>
                <w:sz w:val="20"/>
              </w:rPr>
              <w:t>6</w:t>
            </w:r>
          </w:p>
        </w:tc>
        <w:tc>
          <w:tcPr>
            <w:tcW w:type="dxa" w:w="4320"/>
            <w:shd w:fill="F2F6FA" w:val="clear"/>
          </w:tcPr>
          <w:p>
            <w:pPr>
              <w:jc w:val="center"/>
            </w:pPr>
            <w:r/>
            <w:r>
              <w:rPr>
                <w:sz w:val="20"/>
              </w:rPr>
              <w:t>0.0653</w:t>
            </w:r>
          </w:p>
        </w:tc>
      </w:tr>
      <w:tr>
        <w:tc>
          <w:tcPr>
            <w:tcW w:type="dxa" w:w="4320"/>
          </w:tcPr>
          <w:p>
            <w:pPr>
              <w:jc w:val="center"/>
            </w:pPr>
            <w:r/>
            <w:r>
              <w:rPr>
                <w:sz w:val="20"/>
              </w:rPr>
              <w:t>7</w:t>
            </w:r>
          </w:p>
        </w:tc>
        <w:tc>
          <w:tcPr>
            <w:tcW w:type="dxa" w:w="4320"/>
          </w:tcPr>
          <w:p>
            <w:pPr>
              <w:jc w:val="center"/>
            </w:pPr>
            <w:r/>
            <w:r>
              <w:rPr>
                <w:sz w:val="20"/>
              </w:rPr>
              <w:t>0.0662</w:t>
            </w:r>
          </w:p>
        </w:tc>
      </w:tr>
      <w:tr>
        <w:tc>
          <w:tcPr>
            <w:tcW w:type="dxa" w:w="4320"/>
            <w:shd w:fill="F2F6FA" w:val="clear"/>
          </w:tcPr>
          <w:p>
            <w:pPr>
              <w:jc w:val="center"/>
            </w:pPr>
            <w:r/>
            <w:r>
              <w:rPr>
                <w:sz w:val="20"/>
              </w:rPr>
              <w:t>8</w:t>
            </w:r>
          </w:p>
        </w:tc>
        <w:tc>
          <w:tcPr>
            <w:tcW w:type="dxa" w:w="4320"/>
            <w:shd w:fill="F2F6FA" w:val="clear"/>
          </w:tcPr>
          <w:p>
            <w:pPr>
              <w:jc w:val="center"/>
            </w:pPr>
            <w:r/>
            <w:r>
              <w:rPr>
                <w:sz w:val="20"/>
              </w:rPr>
              <w:t>0.0661</w:t>
            </w:r>
          </w:p>
        </w:tc>
      </w:tr>
      <w:tr>
        <w:tc>
          <w:tcPr>
            <w:tcW w:type="dxa" w:w="4320"/>
          </w:tcPr>
          <w:p>
            <w:pPr>
              <w:jc w:val="center"/>
            </w:pPr>
            <w:r/>
            <w:r>
              <w:rPr>
                <w:sz w:val="20"/>
              </w:rPr>
              <w:t>9</w:t>
            </w:r>
          </w:p>
        </w:tc>
        <w:tc>
          <w:tcPr>
            <w:tcW w:type="dxa" w:w="4320"/>
          </w:tcPr>
          <w:p>
            <w:pPr>
              <w:jc w:val="center"/>
            </w:pPr>
            <w:r/>
            <w:r>
              <w:rPr>
                <w:sz w:val="20"/>
              </w:rPr>
              <w:t>0.0650</w:t>
            </w:r>
          </w:p>
        </w:tc>
      </w:tr>
      <w:tr>
        <w:tc>
          <w:tcPr>
            <w:tcW w:type="dxa" w:w="4320"/>
            <w:shd w:fill="F2F6FA" w:val="clear"/>
          </w:tcPr>
          <w:p>
            <w:pPr>
              <w:jc w:val="center"/>
            </w:pPr>
            <w:r/>
            <w:r>
              <w:rPr>
                <w:sz w:val="20"/>
              </w:rPr>
              <w:t>10</w:t>
            </w:r>
          </w:p>
        </w:tc>
        <w:tc>
          <w:tcPr>
            <w:tcW w:type="dxa" w:w="4320"/>
            <w:shd w:fill="F2F6FA" w:val="clear"/>
          </w:tcPr>
          <w:p>
            <w:pPr>
              <w:jc w:val="center"/>
            </w:pPr>
            <w:r/>
            <w:r>
              <w:rPr>
                <w:sz w:val="20"/>
              </w:rPr>
              <w:t>0.0637</w:t>
            </w:r>
          </w:p>
        </w:tc>
      </w:tr>
    </w:tbl>
    <w:p>
      <w:r>
        <w:rPr>
          <w:i/>
          <w:color w:val="1B3A6B"/>
          <w:sz w:val="20"/>
        </w:rPr>
        <w:t>El mayor Silhouette Score se obtuvo con k=2 (0.0986). Sin embargo, la diferencia con k=3 (0.0823) es pequeña, y k=3 ofrece una interpretación comercial más valiosa (segmentos bajo, medio y alto valor).</w:t>
      </w:r>
    </w:p>
    <w:p>
      <w:r>
        <w:drawing>
          <wp:inline xmlns:a="http://schemas.openxmlformats.org/drawingml/2006/main" xmlns:pic="http://schemas.openxmlformats.org/drawingml/2006/picture">
            <wp:extent cx="5029200" cy="2938948"/>
            <wp:docPr id="2" name="Picture 2"/>
            <wp:cNvGraphicFramePr>
              <a:graphicFrameLocks noChangeAspect="1"/>
            </wp:cNvGraphicFramePr>
            <a:graphic>
              <a:graphicData uri="http://schemas.openxmlformats.org/drawingml/2006/picture">
                <pic:pic>
                  <pic:nvPicPr>
                    <pic:cNvPr id="0" name="fig_silhouette.png"/>
                    <pic:cNvPicPr/>
                  </pic:nvPicPr>
                  <pic:blipFill>
                    <a:blip r:embed="rId10"/>
                    <a:stretch>
                      <a:fillRect/>
                    </a:stretch>
                  </pic:blipFill>
                  <pic:spPr>
                    <a:xfrm>
                      <a:off x="0" y="0"/>
                      <a:ext cx="5029200" cy="2938948"/>
                    </a:xfrm>
                    <a:prstGeom prst="rect"/>
                  </pic:spPr>
                </pic:pic>
              </a:graphicData>
            </a:graphic>
          </wp:inline>
        </w:drawing>
      </w:r>
    </w:p>
    <w:p>
      <w:pPr>
        <w:jc w:val="center"/>
      </w:pPr>
      <w:r>
        <w:rPr>
          <w:i/>
          <w:color w:val="AAAAAA"/>
          <w:sz w:val="18"/>
        </w:rPr>
        <w:t>Figura 2: Silhouette Score según número de clusters (k=2 a k=10)</w:t>
      </w:r>
    </w:p>
    <w:p>
      <w:pPr>
        <w:pStyle w:val="Heading2"/>
      </w:pPr>
      <w:r>
        <w:t>5.3 Comparación Codo + Silhouette</w:t>
      </w:r>
    </w:p>
    <w:p>
      <w:r>
        <w:t>La tabla comparativa integra ambos criterios: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3A6B" w:val="clear"/>
          </w:tcPr>
          <w:p>
            <w:pPr>
              <w:jc w:val="center"/>
            </w:pPr>
            <w:r/>
            <w:r>
              <w:rPr>
                <w:b/>
                <w:color w:val="FFFFFF"/>
                <w:sz w:val="20"/>
              </w:rPr>
              <w:t>k</w:t>
            </w:r>
          </w:p>
        </w:tc>
        <w:tc>
          <w:tcPr>
            <w:tcW w:type="dxa" w:w="1728"/>
            <w:shd w:fill="1B3A6B" w:val="clear"/>
          </w:tcPr>
          <w:p>
            <w:pPr>
              <w:jc w:val="center"/>
            </w:pPr>
            <w:r/>
            <w:r>
              <w:rPr>
                <w:b/>
                <w:color w:val="FFFFFF"/>
                <w:sz w:val="20"/>
              </w:rPr>
              <w:t>Inercia</w:t>
            </w:r>
          </w:p>
        </w:tc>
        <w:tc>
          <w:tcPr>
            <w:tcW w:type="dxa" w:w="1728"/>
            <w:shd w:fill="1B3A6B" w:val="clear"/>
          </w:tcPr>
          <w:p>
            <w:pPr>
              <w:jc w:val="center"/>
            </w:pPr>
            <w:r/>
            <w:r>
              <w:rPr>
                <w:b/>
                <w:color w:val="FFFFFF"/>
                <w:sz w:val="20"/>
              </w:rPr>
              <w:t>Reducción Inercia</w:t>
            </w:r>
          </w:p>
        </w:tc>
        <w:tc>
          <w:tcPr>
            <w:tcW w:type="dxa" w:w="1728"/>
            <w:shd w:fill="1B3A6B" w:val="clear"/>
          </w:tcPr>
          <w:p>
            <w:pPr>
              <w:jc w:val="center"/>
            </w:pPr>
            <w:r/>
            <w:r>
              <w:rPr>
                <w:b/>
                <w:color w:val="FFFFFF"/>
                <w:sz w:val="20"/>
              </w:rPr>
              <w:t>Reducción %</w:t>
            </w:r>
          </w:p>
        </w:tc>
        <w:tc>
          <w:tcPr>
            <w:tcW w:type="dxa" w:w="1728"/>
            <w:shd w:fill="1B3A6B" w:val="clear"/>
          </w:tcPr>
          <w:p>
            <w:pPr>
              <w:jc w:val="center"/>
            </w:pPr>
            <w:r/>
            <w:r>
              <w:rPr>
                <w:b/>
                <w:color w:val="FFFFFF"/>
                <w:sz w:val="20"/>
              </w:rPr>
              <w:t>Silhouette Score</w:t>
            </w:r>
          </w:p>
        </w:tc>
      </w:tr>
      <w:tr>
        <w:tc>
          <w:tcPr>
            <w:tcW w:type="dxa" w:w="1728"/>
            <w:shd w:fill="F2F6FA" w:val="clear"/>
          </w:tcPr>
          <w:p>
            <w:pPr>
              <w:jc w:val="center"/>
            </w:pPr>
            <w:r/>
            <w:r>
              <w:rPr>
                <w:sz w:val="20"/>
              </w:rPr>
              <w:t>2</w:t>
            </w:r>
          </w:p>
        </w:tc>
        <w:tc>
          <w:tcPr>
            <w:tcW w:type="dxa" w:w="1728"/>
            <w:shd w:fill="F2F6FA" w:val="clear"/>
          </w:tcPr>
          <w:p>
            <w:pPr>
              <w:jc w:val="center"/>
            </w:pPr>
            <w:r/>
            <w:r>
              <w:rPr>
                <w:sz w:val="20"/>
              </w:rPr>
              <w:t>4974.43</w:t>
            </w:r>
          </w:p>
        </w:tc>
        <w:tc>
          <w:tcPr>
            <w:tcW w:type="dxa" w:w="1728"/>
            <w:shd w:fill="F2F6FA" w:val="clear"/>
          </w:tcPr>
          <w:p>
            <w:pPr>
              <w:jc w:val="center"/>
            </w:pPr>
            <w:r/>
            <w:r>
              <w:rPr>
                <w:sz w:val="20"/>
              </w:rPr>
              <w:t>-</w:t>
            </w:r>
          </w:p>
        </w:tc>
        <w:tc>
          <w:tcPr>
            <w:tcW w:type="dxa" w:w="1728"/>
            <w:shd w:fill="F2F6FA" w:val="clear"/>
          </w:tcPr>
          <w:p>
            <w:pPr>
              <w:jc w:val="center"/>
            </w:pPr>
            <w:r/>
            <w:r>
              <w:rPr>
                <w:sz w:val="20"/>
              </w:rPr>
              <w:t>-</w:t>
            </w:r>
          </w:p>
        </w:tc>
        <w:tc>
          <w:tcPr>
            <w:tcW w:type="dxa" w:w="1728"/>
            <w:shd w:fill="F2F6FA" w:val="clear"/>
          </w:tcPr>
          <w:p>
            <w:pPr>
              <w:jc w:val="center"/>
            </w:pPr>
            <w:r/>
            <w:r>
              <w:rPr>
                <w:sz w:val="20"/>
              </w:rPr>
              <w:t>0.0986</w:t>
            </w:r>
          </w:p>
        </w:tc>
      </w:tr>
      <w:tr>
        <w:tc>
          <w:tcPr>
            <w:tcW w:type="dxa" w:w="1728"/>
          </w:tcPr>
          <w:p>
            <w:pPr>
              <w:jc w:val="center"/>
            </w:pPr>
            <w:r/>
            <w:r>
              <w:rPr>
                <w:sz w:val="20"/>
              </w:rPr>
              <w:t>3</w:t>
            </w:r>
          </w:p>
        </w:tc>
        <w:tc>
          <w:tcPr>
            <w:tcW w:type="dxa" w:w="1728"/>
          </w:tcPr>
          <w:p>
            <w:pPr>
              <w:jc w:val="center"/>
            </w:pPr>
            <w:r/>
            <w:r>
              <w:rPr>
                <w:sz w:val="20"/>
              </w:rPr>
              <w:t>4615.08</w:t>
            </w:r>
          </w:p>
        </w:tc>
        <w:tc>
          <w:tcPr>
            <w:tcW w:type="dxa" w:w="1728"/>
          </w:tcPr>
          <w:p>
            <w:pPr>
              <w:jc w:val="center"/>
            </w:pPr>
            <w:r/>
            <w:r>
              <w:rPr>
                <w:sz w:val="20"/>
              </w:rPr>
              <w:t>359.35</w:t>
            </w:r>
          </w:p>
        </w:tc>
        <w:tc>
          <w:tcPr>
            <w:tcW w:type="dxa" w:w="1728"/>
          </w:tcPr>
          <w:p>
            <w:pPr>
              <w:jc w:val="center"/>
            </w:pPr>
            <w:r/>
            <w:r>
              <w:rPr>
                <w:sz w:val="20"/>
              </w:rPr>
              <w:t>7.22</w:t>
            </w:r>
          </w:p>
        </w:tc>
        <w:tc>
          <w:tcPr>
            <w:tcW w:type="dxa" w:w="1728"/>
          </w:tcPr>
          <w:p>
            <w:pPr>
              <w:jc w:val="center"/>
            </w:pPr>
            <w:r/>
            <w:r>
              <w:rPr>
                <w:sz w:val="20"/>
              </w:rPr>
              <w:t>0.0823</w:t>
            </w:r>
          </w:p>
        </w:tc>
      </w:tr>
      <w:tr>
        <w:tc>
          <w:tcPr>
            <w:tcW w:type="dxa" w:w="1728"/>
            <w:shd w:fill="F2F6FA" w:val="clear"/>
          </w:tcPr>
          <w:p>
            <w:pPr>
              <w:jc w:val="center"/>
            </w:pPr>
            <w:r/>
            <w:r>
              <w:rPr>
                <w:sz w:val="20"/>
              </w:rPr>
              <w:t>4</w:t>
            </w:r>
          </w:p>
        </w:tc>
        <w:tc>
          <w:tcPr>
            <w:tcW w:type="dxa" w:w="1728"/>
            <w:shd w:fill="F2F6FA" w:val="clear"/>
          </w:tcPr>
          <w:p>
            <w:pPr>
              <w:jc w:val="center"/>
            </w:pPr>
            <w:r/>
            <w:r>
              <w:rPr>
                <w:sz w:val="20"/>
              </w:rPr>
              <w:t>4422.23</w:t>
            </w:r>
          </w:p>
        </w:tc>
        <w:tc>
          <w:tcPr>
            <w:tcW w:type="dxa" w:w="1728"/>
            <w:shd w:fill="F2F6FA" w:val="clear"/>
          </w:tcPr>
          <w:p>
            <w:pPr>
              <w:jc w:val="center"/>
            </w:pPr>
            <w:r/>
            <w:r>
              <w:rPr>
                <w:sz w:val="20"/>
              </w:rPr>
              <w:t>192.86</w:t>
            </w:r>
          </w:p>
        </w:tc>
        <w:tc>
          <w:tcPr>
            <w:tcW w:type="dxa" w:w="1728"/>
            <w:shd w:fill="F2F6FA" w:val="clear"/>
          </w:tcPr>
          <w:p>
            <w:pPr>
              <w:jc w:val="center"/>
            </w:pPr>
            <w:r/>
            <w:r>
              <w:rPr>
                <w:sz w:val="20"/>
              </w:rPr>
              <w:t>4.18</w:t>
            </w:r>
          </w:p>
        </w:tc>
        <w:tc>
          <w:tcPr>
            <w:tcW w:type="dxa" w:w="1728"/>
            <w:shd w:fill="F2F6FA" w:val="clear"/>
          </w:tcPr>
          <w:p>
            <w:pPr>
              <w:jc w:val="center"/>
            </w:pPr>
            <w:r/>
            <w:r>
              <w:rPr>
                <w:sz w:val="20"/>
              </w:rPr>
              <w:t>0.0723</w:t>
            </w:r>
          </w:p>
        </w:tc>
      </w:tr>
      <w:tr>
        <w:tc>
          <w:tcPr>
            <w:tcW w:type="dxa" w:w="1728"/>
          </w:tcPr>
          <w:p>
            <w:pPr>
              <w:jc w:val="center"/>
            </w:pPr>
            <w:r/>
            <w:r>
              <w:rPr>
                <w:sz w:val="20"/>
              </w:rPr>
              <w:t>5</w:t>
            </w:r>
          </w:p>
        </w:tc>
        <w:tc>
          <w:tcPr>
            <w:tcW w:type="dxa" w:w="1728"/>
          </w:tcPr>
          <w:p>
            <w:pPr>
              <w:jc w:val="center"/>
            </w:pPr>
            <w:r/>
            <w:r>
              <w:rPr>
                <w:sz w:val="20"/>
              </w:rPr>
              <w:t>4261.72</w:t>
            </w:r>
          </w:p>
        </w:tc>
        <w:tc>
          <w:tcPr>
            <w:tcW w:type="dxa" w:w="1728"/>
          </w:tcPr>
          <w:p>
            <w:pPr>
              <w:jc w:val="center"/>
            </w:pPr>
            <w:r/>
            <w:r>
              <w:rPr>
                <w:sz w:val="20"/>
              </w:rPr>
              <w:t>160.50</w:t>
            </w:r>
          </w:p>
        </w:tc>
        <w:tc>
          <w:tcPr>
            <w:tcW w:type="dxa" w:w="1728"/>
          </w:tcPr>
          <w:p>
            <w:pPr>
              <w:jc w:val="center"/>
            </w:pPr>
            <w:r/>
            <w:r>
              <w:rPr>
                <w:sz w:val="20"/>
              </w:rPr>
              <w:t>3.63</w:t>
            </w:r>
          </w:p>
        </w:tc>
        <w:tc>
          <w:tcPr>
            <w:tcW w:type="dxa" w:w="1728"/>
          </w:tcPr>
          <w:p>
            <w:pPr>
              <w:jc w:val="center"/>
            </w:pPr>
            <w:r/>
            <w:r>
              <w:rPr>
                <w:sz w:val="20"/>
              </w:rPr>
              <w:t>0.0710</w:t>
            </w:r>
          </w:p>
        </w:tc>
      </w:tr>
      <w:tr>
        <w:tc>
          <w:tcPr>
            <w:tcW w:type="dxa" w:w="1728"/>
            <w:shd w:fill="F2F6FA" w:val="clear"/>
          </w:tcPr>
          <w:p>
            <w:pPr>
              <w:jc w:val="center"/>
            </w:pPr>
            <w:r/>
            <w:r>
              <w:rPr>
                <w:sz w:val="20"/>
              </w:rPr>
              <w:t>6</w:t>
            </w:r>
          </w:p>
        </w:tc>
        <w:tc>
          <w:tcPr>
            <w:tcW w:type="dxa" w:w="1728"/>
            <w:shd w:fill="F2F6FA" w:val="clear"/>
          </w:tcPr>
          <w:p>
            <w:pPr>
              <w:jc w:val="center"/>
            </w:pPr>
            <w:r/>
            <w:r>
              <w:rPr>
                <w:sz w:val="20"/>
              </w:rPr>
              <w:t>4139.85</w:t>
            </w:r>
          </w:p>
        </w:tc>
        <w:tc>
          <w:tcPr>
            <w:tcW w:type="dxa" w:w="1728"/>
            <w:shd w:fill="F2F6FA" w:val="clear"/>
          </w:tcPr>
          <w:p>
            <w:pPr>
              <w:jc w:val="center"/>
            </w:pPr>
            <w:r/>
            <w:r>
              <w:rPr>
                <w:sz w:val="20"/>
              </w:rPr>
              <w:t>121.87</w:t>
            </w:r>
          </w:p>
        </w:tc>
        <w:tc>
          <w:tcPr>
            <w:tcW w:type="dxa" w:w="1728"/>
            <w:shd w:fill="F2F6FA" w:val="clear"/>
          </w:tcPr>
          <w:p>
            <w:pPr>
              <w:jc w:val="center"/>
            </w:pPr>
            <w:r/>
            <w:r>
              <w:rPr>
                <w:sz w:val="20"/>
              </w:rPr>
              <w:t>2.86</w:t>
            </w:r>
          </w:p>
        </w:tc>
        <w:tc>
          <w:tcPr>
            <w:tcW w:type="dxa" w:w="1728"/>
            <w:shd w:fill="F2F6FA" w:val="clear"/>
          </w:tcPr>
          <w:p>
            <w:pPr>
              <w:jc w:val="center"/>
            </w:pPr>
            <w:r/>
            <w:r>
              <w:rPr>
                <w:sz w:val="20"/>
              </w:rPr>
              <w:t>0.0653</w:t>
            </w:r>
          </w:p>
        </w:tc>
      </w:tr>
      <w:tr>
        <w:tc>
          <w:tcPr>
            <w:tcW w:type="dxa" w:w="1728"/>
          </w:tcPr>
          <w:p>
            <w:pPr>
              <w:jc w:val="center"/>
            </w:pPr>
            <w:r/>
            <w:r>
              <w:rPr>
                <w:sz w:val="20"/>
              </w:rPr>
              <w:t>7</w:t>
            </w:r>
          </w:p>
        </w:tc>
        <w:tc>
          <w:tcPr>
            <w:tcW w:type="dxa" w:w="1728"/>
          </w:tcPr>
          <w:p>
            <w:pPr>
              <w:jc w:val="center"/>
            </w:pPr>
            <w:r/>
            <w:r>
              <w:rPr>
                <w:sz w:val="20"/>
              </w:rPr>
              <w:t>4029.71</w:t>
            </w:r>
          </w:p>
        </w:tc>
        <w:tc>
          <w:tcPr>
            <w:tcW w:type="dxa" w:w="1728"/>
          </w:tcPr>
          <w:p>
            <w:pPr>
              <w:jc w:val="center"/>
            </w:pPr>
            <w:r/>
            <w:r>
              <w:rPr>
                <w:sz w:val="20"/>
              </w:rPr>
              <w:t>110.14</w:t>
            </w:r>
          </w:p>
        </w:tc>
        <w:tc>
          <w:tcPr>
            <w:tcW w:type="dxa" w:w="1728"/>
          </w:tcPr>
          <w:p>
            <w:pPr>
              <w:jc w:val="center"/>
            </w:pPr>
            <w:r/>
            <w:r>
              <w:rPr>
                <w:sz w:val="20"/>
              </w:rPr>
              <w:t>2.66</w:t>
            </w:r>
          </w:p>
        </w:tc>
        <w:tc>
          <w:tcPr>
            <w:tcW w:type="dxa" w:w="1728"/>
          </w:tcPr>
          <w:p>
            <w:pPr>
              <w:jc w:val="center"/>
            </w:pPr>
            <w:r/>
            <w:r>
              <w:rPr>
                <w:sz w:val="20"/>
              </w:rPr>
              <w:t>0.0662</w:t>
            </w:r>
          </w:p>
        </w:tc>
      </w:tr>
      <w:tr>
        <w:tc>
          <w:tcPr>
            <w:tcW w:type="dxa" w:w="1728"/>
            <w:shd w:fill="F2F6FA" w:val="clear"/>
          </w:tcPr>
          <w:p>
            <w:pPr>
              <w:jc w:val="center"/>
            </w:pPr>
            <w:r/>
            <w:r>
              <w:rPr>
                <w:sz w:val="20"/>
              </w:rPr>
              <w:t>8</w:t>
            </w:r>
          </w:p>
        </w:tc>
        <w:tc>
          <w:tcPr>
            <w:tcW w:type="dxa" w:w="1728"/>
            <w:shd w:fill="F2F6FA" w:val="clear"/>
          </w:tcPr>
          <w:p>
            <w:pPr>
              <w:jc w:val="center"/>
            </w:pPr>
            <w:r/>
            <w:r>
              <w:rPr>
                <w:sz w:val="20"/>
              </w:rPr>
              <w:t>3939.33</w:t>
            </w:r>
          </w:p>
        </w:tc>
        <w:tc>
          <w:tcPr>
            <w:tcW w:type="dxa" w:w="1728"/>
            <w:shd w:fill="F2F6FA" w:val="clear"/>
          </w:tcPr>
          <w:p>
            <w:pPr>
              <w:jc w:val="center"/>
            </w:pPr>
            <w:r/>
            <w:r>
              <w:rPr>
                <w:sz w:val="20"/>
              </w:rPr>
              <w:t>90.38</w:t>
            </w:r>
          </w:p>
        </w:tc>
        <w:tc>
          <w:tcPr>
            <w:tcW w:type="dxa" w:w="1728"/>
            <w:shd w:fill="F2F6FA" w:val="clear"/>
          </w:tcPr>
          <w:p>
            <w:pPr>
              <w:jc w:val="center"/>
            </w:pPr>
            <w:r/>
            <w:r>
              <w:rPr>
                <w:sz w:val="20"/>
              </w:rPr>
              <w:t>2.24</w:t>
            </w:r>
          </w:p>
        </w:tc>
        <w:tc>
          <w:tcPr>
            <w:tcW w:type="dxa" w:w="1728"/>
            <w:shd w:fill="F2F6FA" w:val="clear"/>
          </w:tcPr>
          <w:p>
            <w:pPr>
              <w:jc w:val="center"/>
            </w:pPr>
            <w:r/>
            <w:r>
              <w:rPr>
                <w:sz w:val="20"/>
              </w:rPr>
              <w:t>0.0661</w:t>
            </w:r>
          </w:p>
        </w:tc>
      </w:tr>
      <w:tr>
        <w:tc>
          <w:tcPr>
            <w:tcW w:type="dxa" w:w="1728"/>
          </w:tcPr>
          <w:p>
            <w:pPr>
              <w:jc w:val="center"/>
            </w:pPr>
            <w:r/>
            <w:r>
              <w:rPr>
                <w:sz w:val="20"/>
              </w:rPr>
              <w:t>9</w:t>
            </w:r>
          </w:p>
        </w:tc>
        <w:tc>
          <w:tcPr>
            <w:tcW w:type="dxa" w:w="1728"/>
          </w:tcPr>
          <w:p>
            <w:pPr>
              <w:jc w:val="center"/>
            </w:pPr>
            <w:r/>
            <w:r>
              <w:rPr>
                <w:sz w:val="20"/>
              </w:rPr>
              <w:t>3852.60</w:t>
            </w:r>
          </w:p>
        </w:tc>
        <w:tc>
          <w:tcPr>
            <w:tcW w:type="dxa" w:w="1728"/>
          </w:tcPr>
          <w:p>
            <w:pPr>
              <w:jc w:val="center"/>
            </w:pPr>
            <w:r/>
            <w:r>
              <w:rPr>
                <w:sz w:val="20"/>
              </w:rPr>
              <w:t>86.73</w:t>
            </w:r>
          </w:p>
        </w:tc>
        <w:tc>
          <w:tcPr>
            <w:tcW w:type="dxa" w:w="1728"/>
          </w:tcPr>
          <w:p>
            <w:pPr>
              <w:jc w:val="center"/>
            </w:pPr>
            <w:r/>
            <w:r>
              <w:rPr>
                <w:sz w:val="20"/>
              </w:rPr>
              <w:t>2.20</w:t>
            </w:r>
          </w:p>
        </w:tc>
        <w:tc>
          <w:tcPr>
            <w:tcW w:type="dxa" w:w="1728"/>
          </w:tcPr>
          <w:p>
            <w:pPr>
              <w:jc w:val="center"/>
            </w:pPr>
            <w:r/>
            <w:r>
              <w:rPr>
                <w:sz w:val="20"/>
              </w:rPr>
              <w:t>0.0650</w:t>
            </w:r>
          </w:p>
        </w:tc>
      </w:tr>
      <w:tr>
        <w:tc>
          <w:tcPr>
            <w:tcW w:type="dxa" w:w="1728"/>
            <w:shd w:fill="F2F6FA" w:val="clear"/>
          </w:tcPr>
          <w:p>
            <w:pPr>
              <w:jc w:val="center"/>
            </w:pPr>
            <w:r/>
            <w:r>
              <w:rPr>
                <w:sz w:val="20"/>
              </w:rPr>
              <w:t>10</w:t>
            </w:r>
          </w:p>
        </w:tc>
        <w:tc>
          <w:tcPr>
            <w:tcW w:type="dxa" w:w="1728"/>
            <w:shd w:fill="F2F6FA" w:val="clear"/>
          </w:tcPr>
          <w:p>
            <w:pPr>
              <w:jc w:val="center"/>
            </w:pPr>
            <w:r/>
            <w:r>
              <w:rPr>
                <w:sz w:val="20"/>
              </w:rPr>
              <w:t>3784.10</w:t>
            </w:r>
          </w:p>
        </w:tc>
        <w:tc>
          <w:tcPr>
            <w:tcW w:type="dxa" w:w="1728"/>
            <w:shd w:fill="F2F6FA" w:val="clear"/>
          </w:tcPr>
          <w:p>
            <w:pPr>
              <w:jc w:val="center"/>
            </w:pPr>
            <w:r/>
            <w:r>
              <w:rPr>
                <w:sz w:val="20"/>
              </w:rPr>
              <w:t>68.50</w:t>
            </w:r>
          </w:p>
        </w:tc>
        <w:tc>
          <w:tcPr>
            <w:tcW w:type="dxa" w:w="1728"/>
            <w:shd w:fill="F2F6FA" w:val="clear"/>
          </w:tcPr>
          <w:p>
            <w:pPr>
              <w:jc w:val="center"/>
            </w:pPr>
            <w:r/>
            <w:r>
              <w:rPr>
                <w:sz w:val="20"/>
              </w:rPr>
              <w:t>1.78</w:t>
            </w:r>
          </w:p>
        </w:tc>
        <w:tc>
          <w:tcPr>
            <w:tcW w:type="dxa" w:w="1728"/>
            <w:shd w:fill="F2F6FA" w:val="clear"/>
          </w:tcPr>
          <w:p>
            <w:pPr>
              <w:jc w:val="center"/>
            </w:pPr>
            <w:r/>
            <w:r>
              <w:rPr>
                <w:sz w:val="20"/>
              </w:rPr>
              <w:t>0.0637</w:t>
            </w:r>
          </w:p>
        </w:tc>
      </w:tr>
    </w:tbl>
    <w:p>
      <w:r>
        <w:t>Análisis de la comparación:</w:t>
        <w:br/>
        <w:t>- k=2 tiene el mejor Silhouette (0.0986) pero solo dos grupos (bajo-alto), poco granular.</w:t>
        <w:br/>
        <w:t>- k=3 tiene el segundo mejor Silhouette (0.0823) y el codo más claro (7.22% de reducción).</w:t>
        <w:br/>
        <w:t>- k=4 a k=10 muestran reducciones decrecientes y Silhouette descendente.</w:t>
      </w:r>
    </w:p>
    <w:p>
      <w:pPr>
        <w:pStyle w:val="Heading2"/>
      </w:pPr>
      <w:r>
        <w:t>5.4 Decisión de k=3</w:t>
      </w:r>
    </w:p>
    <w:p>
      <w:r>
        <w:t>Se seleccionó k=3 por las siguientes razones técnicas y de negocio:</w:t>
        <w:br/>
        <w:br/>
        <w:t>1. Método del codo: la mayor caída porcentual ocurre en k=3 (7.22%), definiendo el punto de inflexión.</w:t>
        <w:br/>
        <w:t>2. Silhouette Score: el valor de k=3 (0.0823) es el segundo más alto y muy cercano al máximo (k=2, 0.0986).</w:t>
        <w:br/>
        <w:t>3. Interpretabilidad: tres segmentos corresponden a perfiles naturales de clientes (menor valor, intermedio, mayor valor).</w:t>
        <w:br/>
        <w:t>4. Distribución balanceada: los clusters resultantes tienen 161, 106 y 153 clientes, sin grupos extremadamente pequeños.</w:t>
        <w:br/>
        <w:t>5. Utilidad comercial: tres segmentos permiten diseñar estrategias diferenciadas (retención, crecimiento, fidelización).</w:t>
      </w:r>
    </w:p>
    <w:p>
      <w:r>
        <w:rPr>
          <w:i/>
          <w:color w:val="1B3A6B"/>
          <w:sz w:val="20"/>
        </w:rPr>
        <w:t>La selección de k=3 no coincide con el valor de máximo Silhouette (k=2), pero está justificada por el codo, la interpretabilidad del negocio y la distribución equilibrada de los clusters.</w:t>
      </w:r>
    </w:p>
    <w:p>
      <w:pPr>
        <w:pStyle w:val="Heading1"/>
      </w:pPr>
      <w:r>
        <w:t>6. Modelo Final K-Means (k=3)</w:t>
      </w:r>
    </w:p>
    <w:p>
      <w:r>
        <w:t>Con k=3 seleccionado, se entrenó el modelo final K-Means con random_state=42 y n_init=10. La distribución de clientes por cluster fue: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6B" w:val="clear"/>
          </w:tcPr>
          <w:p>
            <w:pPr>
              <w:jc w:val="center"/>
            </w:pPr>
            <w:r/>
            <w:r>
              <w:rPr>
                <w:b/>
                <w:color w:val="FFFFFF"/>
                <w:sz w:val="20"/>
              </w:rPr>
              <w:t>Cluster</w:t>
            </w:r>
          </w:p>
        </w:tc>
        <w:tc>
          <w:tcPr>
            <w:tcW w:type="dxa" w:w="2880"/>
            <w:shd w:fill="1B3A6B" w:val="clear"/>
          </w:tcPr>
          <w:p>
            <w:pPr>
              <w:jc w:val="center"/>
            </w:pPr>
            <w:r/>
            <w:r>
              <w:rPr>
                <w:b/>
                <w:color w:val="FFFFFF"/>
                <w:sz w:val="20"/>
              </w:rPr>
              <w:t>Cantidad de Clientes</w:t>
            </w:r>
          </w:p>
        </w:tc>
        <w:tc>
          <w:tcPr>
            <w:tcW w:type="dxa" w:w="2880"/>
            <w:shd w:fill="1B3A6B" w:val="clear"/>
          </w:tcPr>
          <w:p>
            <w:pPr>
              <w:jc w:val="center"/>
            </w:pPr>
            <w:r/>
            <w:r>
              <w:rPr>
                <w:b/>
                <w:color w:val="FFFFFF"/>
                <w:sz w:val="20"/>
              </w:rPr>
              <w:t>Porcentaje</w:t>
            </w:r>
          </w:p>
        </w:tc>
      </w:tr>
      <w:tr>
        <w:tc>
          <w:tcPr>
            <w:tcW w:type="dxa" w:w="2880"/>
            <w:shd w:fill="F2F6FA" w:val="clear"/>
          </w:tcPr>
          <w:p>
            <w:pPr>
              <w:jc w:val="center"/>
            </w:pPr>
            <w:r/>
            <w:r>
              <w:rPr>
                <w:sz w:val="20"/>
              </w:rPr>
              <w:t>0</w:t>
            </w:r>
          </w:p>
        </w:tc>
        <w:tc>
          <w:tcPr>
            <w:tcW w:type="dxa" w:w="2880"/>
            <w:shd w:fill="F2F6FA" w:val="clear"/>
          </w:tcPr>
          <w:p>
            <w:pPr>
              <w:jc w:val="center"/>
            </w:pPr>
            <w:r/>
            <w:r>
              <w:rPr>
                <w:sz w:val="20"/>
              </w:rPr>
              <w:t>161</w:t>
            </w:r>
          </w:p>
        </w:tc>
        <w:tc>
          <w:tcPr>
            <w:tcW w:type="dxa" w:w="2880"/>
            <w:shd w:fill="F2F6FA" w:val="clear"/>
          </w:tcPr>
          <w:p>
            <w:pPr>
              <w:jc w:val="center"/>
            </w:pPr>
            <w:r/>
            <w:r>
              <w:rPr>
                <w:sz w:val="20"/>
              </w:rPr>
              <w:t>38.3%</w:t>
            </w:r>
          </w:p>
        </w:tc>
      </w:tr>
      <w:tr>
        <w:tc>
          <w:tcPr>
            <w:tcW w:type="dxa" w:w="2880"/>
          </w:tcPr>
          <w:p>
            <w:pPr>
              <w:jc w:val="center"/>
            </w:pPr>
            <w:r/>
            <w:r>
              <w:rPr>
                <w:sz w:val="20"/>
              </w:rPr>
              <w:t>1</w:t>
            </w:r>
          </w:p>
        </w:tc>
        <w:tc>
          <w:tcPr>
            <w:tcW w:type="dxa" w:w="2880"/>
          </w:tcPr>
          <w:p>
            <w:pPr>
              <w:jc w:val="center"/>
            </w:pPr>
            <w:r/>
            <w:r>
              <w:rPr>
                <w:sz w:val="20"/>
              </w:rPr>
              <w:t>106</w:t>
            </w:r>
          </w:p>
        </w:tc>
        <w:tc>
          <w:tcPr>
            <w:tcW w:type="dxa" w:w="2880"/>
          </w:tcPr>
          <w:p>
            <w:pPr>
              <w:jc w:val="center"/>
            </w:pPr>
            <w:r/>
            <w:r>
              <w:rPr>
                <w:sz w:val="20"/>
              </w:rPr>
              <w:t>25.2%</w:t>
            </w:r>
          </w:p>
        </w:tc>
      </w:tr>
      <w:tr>
        <w:tc>
          <w:tcPr>
            <w:tcW w:type="dxa" w:w="2880"/>
            <w:shd w:fill="F2F6FA" w:val="clear"/>
          </w:tcPr>
          <w:p>
            <w:pPr>
              <w:jc w:val="center"/>
            </w:pPr>
            <w:r/>
            <w:r>
              <w:rPr>
                <w:sz w:val="20"/>
              </w:rPr>
              <w:t>2</w:t>
            </w:r>
          </w:p>
        </w:tc>
        <w:tc>
          <w:tcPr>
            <w:tcW w:type="dxa" w:w="2880"/>
            <w:shd w:fill="F2F6FA" w:val="clear"/>
          </w:tcPr>
          <w:p>
            <w:pPr>
              <w:jc w:val="center"/>
            </w:pPr>
            <w:r/>
            <w:r>
              <w:rPr>
                <w:sz w:val="20"/>
              </w:rPr>
              <w:t>153</w:t>
            </w:r>
          </w:p>
        </w:tc>
        <w:tc>
          <w:tcPr>
            <w:tcW w:type="dxa" w:w="2880"/>
            <w:shd w:fill="F2F6FA" w:val="clear"/>
          </w:tcPr>
          <w:p>
            <w:pPr>
              <w:jc w:val="center"/>
            </w:pPr>
            <w:r/>
            <w:r>
              <w:rPr>
                <w:sz w:val="20"/>
              </w:rPr>
              <w:t>36.4%</w:t>
            </w:r>
          </w:p>
        </w:tc>
      </w:tr>
    </w:tbl>
    <w:p>
      <w:r>
        <w:t>El Cluster 0 agrupa 161 clientes (38.3%), el Cluster 1 concentra 106 clientes (25.2%), y el Cluster 2 reúne 153 clientes (36.4%). La distribución es relativamente equilibrada, sin clusters dominantes ni grupos marginales.</w:t>
      </w:r>
    </w:p>
    <w:p>
      <w:pPr>
        <w:pStyle w:val="Heading1"/>
      </w:pPr>
      <w:r>
        <w:t>7. Perfiles de los Clusters</w:t>
      </w:r>
    </w:p>
    <w:p>
      <w:pPr>
        <w:pStyle w:val="Heading2"/>
      </w:pPr>
      <w:r>
        <w:t>7.1 Perfil Numérico</w:t>
      </w:r>
    </w:p>
    <w:p>
      <w:r>
        <w:t>Se calcularon los promedios de cada variable numérica por cluster para caracterizar los segmentos: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B3A6B" w:val="clear"/>
          </w:tcPr>
          <w:p>
            <w:pPr>
              <w:jc w:val="center"/>
            </w:pPr>
            <w:r/>
            <w:r>
              <w:rPr>
                <w:b/>
                <w:color w:val="FFFFFF"/>
                <w:sz w:val="20"/>
              </w:rPr>
              <w:t>Cluster</w:t>
            </w:r>
          </w:p>
        </w:tc>
        <w:tc>
          <w:tcPr>
            <w:tcW w:type="dxa" w:w="785"/>
            <w:shd w:fill="1B3A6B" w:val="clear"/>
          </w:tcPr>
          <w:p>
            <w:pPr>
              <w:jc w:val="center"/>
            </w:pPr>
            <w:r/>
            <w:r>
              <w:rPr>
                <w:b/>
                <w:color w:val="FFFFFF"/>
                <w:sz w:val="20"/>
              </w:rPr>
              <w:t>Edad</w:t>
            </w:r>
          </w:p>
        </w:tc>
        <w:tc>
          <w:tcPr>
            <w:tcW w:type="dxa" w:w="785"/>
            <w:shd w:fill="1B3A6B" w:val="clear"/>
          </w:tcPr>
          <w:p>
            <w:pPr>
              <w:jc w:val="center"/>
            </w:pPr>
            <w:r/>
            <w:r>
              <w:rPr>
                <w:b/>
                <w:color w:val="FFFFFF"/>
                <w:sz w:val="20"/>
              </w:rPr>
              <w:t>IngresoMensual</w:t>
            </w:r>
          </w:p>
        </w:tc>
        <w:tc>
          <w:tcPr>
            <w:tcW w:type="dxa" w:w="785"/>
            <w:shd w:fill="1B3A6B" w:val="clear"/>
          </w:tcPr>
          <w:p>
            <w:pPr>
              <w:jc w:val="center"/>
            </w:pPr>
            <w:r/>
            <w:r>
              <w:rPr>
                <w:b/>
                <w:color w:val="FFFFFF"/>
                <w:sz w:val="20"/>
              </w:rPr>
              <w:t>CantidadCompras</w:t>
            </w:r>
          </w:p>
        </w:tc>
        <w:tc>
          <w:tcPr>
            <w:tcW w:type="dxa" w:w="785"/>
            <w:shd w:fill="1B3A6B" w:val="clear"/>
          </w:tcPr>
          <w:p>
            <w:pPr>
              <w:jc w:val="center"/>
            </w:pPr>
            <w:r/>
            <w:r>
              <w:rPr>
                <w:b/>
                <w:color w:val="FFFFFF"/>
                <w:sz w:val="20"/>
              </w:rPr>
              <w:t>ComprasUltimos12M</w:t>
            </w:r>
          </w:p>
        </w:tc>
        <w:tc>
          <w:tcPr>
            <w:tcW w:type="dxa" w:w="785"/>
            <w:shd w:fill="1B3A6B" w:val="clear"/>
          </w:tcPr>
          <w:p>
            <w:pPr>
              <w:jc w:val="center"/>
            </w:pPr>
            <w:r/>
            <w:r>
              <w:rPr>
                <w:b/>
                <w:color w:val="FFFFFF"/>
                <w:sz w:val="20"/>
              </w:rPr>
              <w:t>AntiguedadMeses</w:t>
            </w:r>
          </w:p>
        </w:tc>
        <w:tc>
          <w:tcPr>
            <w:tcW w:type="dxa" w:w="785"/>
            <w:shd w:fill="1B3A6B" w:val="clear"/>
          </w:tcPr>
          <w:p>
            <w:pPr>
              <w:jc w:val="center"/>
            </w:pPr>
            <w:r/>
            <w:r>
              <w:rPr>
                <w:b/>
                <w:color w:val="FFFFFF"/>
                <w:sz w:val="20"/>
              </w:rPr>
              <w:t>QuejasUltimos6M</w:t>
            </w:r>
          </w:p>
        </w:tc>
        <w:tc>
          <w:tcPr>
            <w:tcW w:type="dxa" w:w="785"/>
            <w:shd w:fill="1B3A6B" w:val="clear"/>
          </w:tcPr>
          <w:p>
            <w:pPr>
              <w:jc w:val="center"/>
            </w:pPr>
            <w:r/>
            <w:r>
              <w:rPr>
                <w:b/>
                <w:color w:val="FFFFFF"/>
                <w:sz w:val="20"/>
              </w:rPr>
              <w:t>DiasDesdeUltimaCompra</w:t>
            </w:r>
          </w:p>
        </w:tc>
        <w:tc>
          <w:tcPr>
            <w:tcW w:type="dxa" w:w="785"/>
            <w:shd w:fill="1B3A6B" w:val="clear"/>
          </w:tcPr>
          <w:p>
            <w:pPr>
              <w:jc w:val="center"/>
            </w:pPr>
            <w:r/>
            <w:r>
              <w:rPr>
                <w:b/>
                <w:color w:val="FFFFFF"/>
                <w:sz w:val="20"/>
              </w:rPr>
              <w:t>VisitasWebUltimoMes</w:t>
            </w:r>
          </w:p>
        </w:tc>
        <w:tc>
          <w:tcPr>
            <w:tcW w:type="dxa" w:w="785"/>
            <w:shd w:fill="1B3A6B" w:val="clear"/>
          </w:tcPr>
          <w:p>
            <w:pPr>
              <w:jc w:val="center"/>
            </w:pPr>
            <w:r/>
            <w:r>
              <w:rPr>
                <w:b/>
                <w:color w:val="FFFFFF"/>
                <w:sz w:val="20"/>
              </w:rPr>
              <w:t>TiempoPromedioSesionMin</w:t>
            </w:r>
          </w:p>
        </w:tc>
        <w:tc>
          <w:tcPr>
            <w:tcW w:type="dxa" w:w="785"/>
            <w:shd w:fill="1B3A6B" w:val="clear"/>
          </w:tcPr>
          <w:p>
            <w:pPr>
              <w:jc w:val="center"/>
            </w:pPr>
            <w:r/>
            <w:r>
              <w:rPr>
                <w:b/>
                <w:color w:val="FFFFFF"/>
                <w:sz w:val="20"/>
              </w:rPr>
              <w:t>CuponesUsados</w:t>
            </w:r>
          </w:p>
        </w:tc>
      </w:tr>
      <w:tr>
        <w:tc>
          <w:tcPr>
            <w:tcW w:type="dxa" w:w="785"/>
            <w:shd w:fill="F2F6FA" w:val="clear"/>
          </w:tcPr>
          <w:p>
            <w:pPr>
              <w:jc w:val="center"/>
            </w:pPr>
            <w:r/>
            <w:r>
              <w:rPr>
                <w:sz w:val="20"/>
              </w:rPr>
              <w:t>0</w:t>
            </w:r>
          </w:p>
        </w:tc>
        <w:tc>
          <w:tcPr>
            <w:tcW w:type="dxa" w:w="785"/>
            <w:shd w:fill="F2F6FA" w:val="clear"/>
          </w:tcPr>
          <w:p>
            <w:pPr>
              <w:jc w:val="center"/>
            </w:pPr>
            <w:r/>
            <w:r>
              <w:rPr>
                <w:sz w:val="20"/>
              </w:rPr>
              <w:t>41.40</w:t>
            </w:r>
          </w:p>
        </w:tc>
        <w:tc>
          <w:tcPr>
            <w:tcW w:type="dxa" w:w="785"/>
            <w:shd w:fill="F2F6FA" w:val="clear"/>
          </w:tcPr>
          <w:p>
            <w:pPr>
              <w:jc w:val="center"/>
            </w:pPr>
            <w:r/>
            <w:r>
              <w:rPr>
                <w:sz w:val="20"/>
              </w:rPr>
              <w:t>2957.65</w:t>
            </w:r>
          </w:p>
        </w:tc>
        <w:tc>
          <w:tcPr>
            <w:tcW w:type="dxa" w:w="785"/>
            <w:shd w:fill="F2F6FA" w:val="clear"/>
          </w:tcPr>
          <w:p>
            <w:pPr>
              <w:jc w:val="center"/>
            </w:pPr>
            <w:r/>
            <w:r>
              <w:rPr>
                <w:sz w:val="20"/>
              </w:rPr>
              <w:t>11.91</w:t>
            </w:r>
          </w:p>
        </w:tc>
        <w:tc>
          <w:tcPr>
            <w:tcW w:type="dxa" w:w="785"/>
            <w:shd w:fill="F2F6FA" w:val="clear"/>
          </w:tcPr>
          <w:p>
            <w:pPr>
              <w:jc w:val="center"/>
            </w:pPr>
            <w:r/>
            <w:r>
              <w:rPr>
                <w:sz w:val="20"/>
              </w:rPr>
              <w:t>5.17</w:t>
            </w:r>
          </w:p>
        </w:tc>
        <w:tc>
          <w:tcPr>
            <w:tcW w:type="dxa" w:w="785"/>
            <w:shd w:fill="F2F6FA" w:val="clear"/>
          </w:tcPr>
          <w:p>
            <w:pPr>
              <w:jc w:val="center"/>
            </w:pPr>
            <w:r/>
            <w:r>
              <w:rPr>
                <w:sz w:val="20"/>
              </w:rPr>
              <w:t>26.98</w:t>
            </w:r>
          </w:p>
        </w:tc>
        <w:tc>
          <w:tcPr>
            <w:tcW w:type="dxa" w:w="785"/>
            <w:shd w:fill="F2F6FA" w:val="clear"/>
          </w:tcPr>
          <w:p>
            <w:pPr>
              <w:jc w:val="center"/>
            </w:pPr>
            <w:r/>
            <w:r>
              <w:rPr>
                <w:sz w:val="20"/>
              </w:rPr>
              <w:t>0.61</w:t>
            </w:r>
          </w:p>
        </w:tc>
        <w:tc>
          <w:tcPr>
            <w:tcW w:type="dxa" w:w="785"/>
            <w:shd w:fill="F2F6FA" w:val="clear"/>
          </w:tcPr>
          <w:p>
            <w:pPr>
              <w:jc w:val="center"/>
            </w:pPr>
            <w:r/>
            <w:r>
              <w:rPr>
                <w:sz w:val="20"/>
              </w:rPr>
              <w:t>34.61</w:t>
            </w:r>
          </w:p>
        </w:tc>
        <w:tc>
          <w:tcPr>
            <w:tcW w:type="dxa" w:w="785"/>
            <w:shd w:fill="F2F6FA" w:val="clear"/>
          </w:tcPr>
          <w:p>
            <w:pPr>
              <w:jc w:val="center"/>
            </w:pPr>
            <w:r/>
            <w:r>
              <w:rPr>
                <w:sz w:val="20"/>
              </w:rPr>
              <w:t>9.97</w:t>
            </w:r>
          </w:p>
        </w:tc>
        <w:tc>
          <w:tcPr>
            <w:tcW w:type="dxa" w:w="785"/>
            <w:shd w:fill="F2F6FA" w:val="clear"/>
          </w:tcPr>
          <w:p>
            <w:pPr>
              <w:jc w:val="center"/>
            </w:pPr>
            <w:r/>
            <w:r>
              <w:rPr>
                <w:sz w:val="20"/>
              </w:rPr>
              <w:t>7.26</w:t>
            </w:r>
          </w:p>
        </w:tc>
        <w:tc>
          <w:tcPr>
            <w:tcW w:type="dxa" w:w="785"/>
            <w:shd w:fill="F2F6FA" w:val="clear"/>
          </w:tcPr>
          <w:p>
            <w:pPr>
              <w:jc w:val="center"/>
            </w:pPr>
            <w:r/>
            <w:r>
              <w:rPr>
                <w:sz w:val="20"/>
              </w:rPr>
              <w:t>3.10</w:t>
            </w:r>
          </w:p>
        </w:tc>
      </w:tr>
      <w:tr>
        <w:tc>
          <w:tcPr>
            <w:tcW w:type="dxa" w:w="785"/>
          </w:tcPr>
          <w:p>
            <w:pPr>
              <w:jc w:val="center"/>
            </w:pPr>
            <w:r/>
            <w:r>
              <w:rPr>
                <w:sz w:val="20"/>
              </w:rPr>
              <w:t>1</w:t>
            </w:r>
          </w:p>
        </w:tc>
        <w:tc>
          <w:tcPr>
            <w:tcW w:type="dxa" w:w="785"/>
          </w:tcPr>
          <w:p>
            <w:pPr>
              <w:jc w:val="center"/>
            </w:pPr>
            <w:r/>
            <w:r>
              <w:rPr>
                <w:sz w:val="20"/>
              </w:rPr>
              <w:t>37.08</w:t>
            </w:r>
          </w:p>
        </w:tc>
        <w:tc>
          <w:tcPr>
            <w:tcW w:type="dxa" w:w="785"/>
          </w:tcPr>
          <w:p>
            <w:pPr>
              <w:jc w:val="center"/>
            </w:pPr>
            <w:r/>
            <w:r>
              <w:rPr>
                <w:sz w:val="20"/>
              </w:rPr>
              <w:t>3136.82</w:t>
            </w:r>
          </w:p>
        </w:tc>
        <w:tc>
          <w:tcPr>
            <w:tcW w:type="dxa" w:w="785"/>
          </w:tcPr>
          <w:p>
            <w:pPr>
              <w:jc w:val="center"/>
            </w:pPr>
            <w:r/>
            <w:r>
              <w:rPr>
                <w:sz w:val="20"/>
              </w:rPr>
              <w:t>14.75</w:t>
            </w:r>
          </w:p>
        </w:tc>
        <w:tc>
          <w:tcPr>
            <w:tcW w:type="dxa" w:w="785"/>
          </w:tcPr>
          <w:p>
            <w:pPr>
              <w:jc w:val="center"/>
            </w:pPr>
            <w:r/>
            <w:r>
              <w:rPr>
                <w:sz w:val="20"/>
              </w:rPr>
              <w:t>4.45</w:t>
            </w:r>
          </w:p>
        </w:tc>
        <w:tc>
          <w:tcPr>
            <w:tcW w:type="dxa" w:w="785"/>
          </w:tcPr>
          <w:p>
            <w:pPr>
              <w:jc w:val="center"/>
            </w:pPr>
            <w:r/>
            <w:r>
              <w:rPr>
                <w:sz w:val="20"/>
              </w:rPr>
              <w:t>42.33</w:t>
            </w:r>
          </w:p>
        </w:tc>
        <w:tc>
          <w:tcPr>
            <w:tcW w:type="dxa" w:w="785"/>
          </w:tcPr>
          <w:p>
            <w:pPr>
              <w:jc w:val="center"/>
            </w:pPr>
            <w:r/>
            <w:r>
              <w:rPr>
                <w:sz w:val="20"/>
              </w:rPr>
              <w:t>2.82</w:t>
            </w:r>
          </w:p>
        </w:tc>
        <w:tc>
          <w:tcPr>
            <w:tcW w:type="dxa" w:w="785"/>
          </w:tcPr>
          <w:p>
            <w:pPr>
              <w:jc w:val="center"/>
            </w:pPr>
            <w:r/>
            <w:r>
              <w:rPr>
                <w:sz w:val="20"/>
              </w:rPr>
              <w:t>66.98</w:t>
            </w:r>
          </w:p>
        </w:tc>
        <w:tc>
          <w:tcPr>
            <w:tcW w:type="dxa" w:w="785"/>
          </w:tcPr>
          <w:p>
            <w:pPr>
              <w:jc w:val="center"/>
            </w:pPr>
            <w:r/>
            <w:r>
              <w:rPr>
                <w:sz w:val="20"/>
              </w:rPr>
              <w:t>8.20</w:t>
            </w:r>
          </w:p>
        </w:tc>
        <w:tc>
          <w:tcPr>
            <w:tcW w:type="dxa" w:w="785"/>
          </w:tcPr>
          <w:p>
            <w:pPr>
              <w:jc w:val="center"/>
            </w:pPr>
            <w:r/>
            <w:r>
              <w:rPr>
                <w:sz w:val="20"/>
              </w:rPr>
              <w:t>7.03</w:t>
            </w:r>
          </w:p>
        </w:tc>
        <w:tc>
          <w:tcPr>
            <w:tcW w:type="dxa" w:w="785"/>
          </w:tcPr>
          <w:p>
            <w:pPr>
              <w:jc w:val="center"/>
            </w:pPr>
            <w:r/>
            <w:r>
              <w:rPr>
                <w:sz w:val="20"/>
              </w:rPr>
              <w:t>2.29</w:t>
            </w:r>
          </w:p>
        </w:tc>
      </w:tr>
      <w:tr>
        <w:tc>
          <w:tcPr>
            <w:tcW w:type="dxa" w:w="785"/>
            <w:shd w:fill="F2F6FA" w:val="clear"/>
          </w:tcPr>
          <w:p>
            <w:pPr>
              <w:jc w:val="center"/>
            </w:pPr>
            <w:r/>
            <w:r>
              <w:rPr>
                <w:sz w:val="20"/>
              </w:rPr>
              <w:t>2</w:t>
            </w:r>
          </w:p>
        </w:tc>
        <w:tc>
          <w:tcPr>
            <w:tcW w:type="dxa" w:w="785"/>
            <w:shd w:fill="F2F6FA" w:val="clear"/>
          </w:tcPr>
          <w:p>
            <w:pPr>
              <w:jc w:val="center"/>
            </w:pPr>
            <w:r/>
            <w:r>
              <w:rPr>
                <w:sz w:val="20"/>
              </w:rPr>
              <w:t>42.18</w:t>
            </w:r>
          </w:p>
        </w:tc>
        <w:tc>
          <w:tcPr>
            <w:tcW w:type="dxa" w:w="785"/>
            <w:shd w:fill="F2F6FA" w:val="clear"/>
          </w:tcPr>
          <w:p>
            <w:pPr>
              <w:jc w:val="center"/>
            </w:pPr>
            <w:r/>
            <w:r>
              <w:rPr>
                <w:sz w:val="20"/>
              </w:rPr>
              <w:t>2957.60</w:t>
            </w:r>
          </w:p>
        </w:tc>
        <w:tc>
          <w:tcPr>
            <w:tcW w:type="dxa" w:w="785"/>
            <w:shd w:fill="F2F6FA" w:val="clear"/>
          </w:tcPr>
          <w:p>
            <w:pPr>
              <w:jc w:val="center"/>
            </w:pPr>
            <w:r/>
            <w:r>
              <w:rPr>
                <w:sz w:val="20"/>
              </w:rPr>
              <w:t>21.22</w:t>
            </w:r>
          </w:p>
        </w:tc>
        <w:tc>
          <w:tcPr>
            <w:tcW w:type="dxa" w:w="785"/>
            <w:shd w:fill="F2F6FA" w:val="clear"/>
          </w:tcPr>
          <w:p>
            <w:pPr>
              <w:jc w:val="center"/>
            </w:pPr>
            <w:r/>
            <w:r>
              <w:rPr>
                <w:sz w:val="20"/>
              </w:rPr>
              <w:t>5.35</w:t>
            </w:r>
          </w:p>
        </w:tc>
        <w:tc>
          <w:tcPr>
            <w:tcW w:type="dxa" w:w="785"/>
            <w:shd w:fill="F2F6FA" w:val="clear"/>
          </w:tcPr>
          <w:p>
            <w:pPr>
              <w:jc w:val="center"/>
            </w:pPr>
            <w:r/>
            <w:r>
              <w:rPr>
                <w:sz w:val="20"/>
              </w:rPr>
              <w:t>71.67</w:t>
            </w:r>
          </w:p>
        </w:tc>
        <w:tc>
          <w:tcPr>
            <w:tcW w:type="dxa" w:w="785"/>
            <w:shd w:fill="F2F6FA" w:val="clear"/>
          </w:tcPr>
          <w:p>
            <w:pPr>
              <w:jc w:val="center"/>
            </w:pPr>
            <w:r/>
            <w:r>
              <w:rPr>
                <w:sz w:val="20"/>
              </w:rPr>
              <w:t>0.81</w:t>
            </w:r>
          </w:p>
        </w:tc>
        <w:tc>
          <w:tcPr>
            <w:tcW w:type="dxa" w:w="785"/>
            <w:shd w:fill="F2F6FA" w:val="clear"/>
          </w:tcPr>
          <w:p>
            <w:pPr>
              <w:jc w:val="center"/>
            </w:pPr>
            <w:r/>
            <w:r>
              <w:rPr>
                <w:sz w:val="20"/>
              </w:rPr>
              <w:t>36.44</w:t>
            </w:r>
          </w:p>
        </w:tc>
        <w:tc>
          <w:tcPr>
            <w:tcW w:type="dxa" w:w="785"/>
            <w:shd w:fill="F2F6FA" w:val="clear"/>
          </w:tcPr>
          <w:p>
            <w:pPr>
              <w:jc w:val="center"/>
            </w:pPr>
            <w:r/>
            <w:r>
              <w:rPr>
                <w:sz w:val="20"/>
              </w:rPr>
              <w:t>9.37</w:t>
            </w:r>
          </w:p>
        </w:tc>
        <w:tc>
          <w:tcPr>
            <w:tcW w:type="dxa" w:w="785"/>
            <w:shd w:fill="F2F6FA" w:val="clear"/>
          </w:tcPr>
          <w:p>
            <w:pPr>
              <w:jc w:val="center"/>
            </w:pPr>
            <w:r/>
            <w:r>
              <w:rPr>
                <w:sz w:val="20"/>
              </w:rPr>
              <w:t>6.95</w:t>
            </w:r>
          </w:p>
        </w:tc>
        <w:tc>
          <w:tcPr>
            <w:tcW w:type="dxa" w:w="785"/>
            <w:shd w:fill="F2F6FA" w:val="clear"/>
          </w:tcPr>
          <w:p>
            <w:pPr>
              <w:jc w:val="center"/>
            </w:pPr>
            <w:r/>
            <w:r>
              <w:rPr>
                <w:sz w:val="20"/>
              </w:rPr>
              <w:t>2.16</w:t>
            </w:r>
          </w:p>
        </w:tc>
      </w:tr>
    </w:tbl>
    <w:p>
      <w:r>
        <w:t>Interpretación de los clusters:</w:t>
        <w:br/>
        <w:br/>
        <w:t>Cluster 0 (161 clientes - "Clientes Estables"):</w:t>
        <w:br/>
        <w:t>- Edad promedio: 41.4 años. Ingreso: 2,958. Antigüedad: 27 meses (la más baja).</w:t>
        <w:br/>
        <w:t>- Cantidad de compras: 11.9 (la más baja). Quejas: 0.61 (baja).</w:t>
        <w:br/>
        <w:t>- Días desde última compra: 34.6 (reciente). Visitas web: 10 (alta).</w:t>
        <w:br/>
        <w:t>- Cupones usados: 3.1 (el más alto). Tasa de abandono: 36.7%.</w:t>
        <w:br/>
        <w:t>- Perfil: clientes relativamente nuevos, compran poco pero usan cupones y visitan el sitio web con frecuencia.</w:t>
        <w:br/>
        <w:br/>
        <w:t>Cluster 1 (106 clientes - "Clientes en Riesgo"):</w:t>
        <w:br/>
        <w:t>- Edad promedio: 37.1 años (la más joven). Ingreso: 3,137 (el más alto).</w:t>
        <w:br/>
        <w:t>- Quejas: 2.82 (la más alta, más del triple que los otros grupos).</w:t>
        <w:br/>
        <w:t>- Días desde última compra: 67 (el más alto). Antigüedad: 42.3 meses.</w:t>
        <w:br/>
        <w:t>- Tasa de abandono: 65.1% (la más alta, casi el doble).</w:t>
        <w:br/>
        <w:t>- Perfil: clientes jóvenes con alto ingreso pero altamente insatisfechos, con muchas quejas y alta probabilidad de abandono.</w:t>
        <w:br/>
        <w:br/>
        <w:t>Cluster 2 (153 clientes - "Clientes Leales"):</w:t>
        <w:br/>
        <w:t>- Edad promedio: 42.2 años (la más alta). Antigüedad: 71.7 meses (la más alta).</w:t>
        <w:br/>
        <w:t>- Cantidad de compras: 21.2 (la más alta). Compras últimos 12M: 5.35.</w:t>
        <w:br/>
        <w:t>- Quejas: 0.81 (baja). Días desde última compra: 36.4.</w:t>
        <w:br/>
        <w:t>- Tasa de abandono: 34.0% (la más baja).</w:t>
        <w:br/>
        <w:t>- Perfil: clientes leales y antiguos, con alta frecuencia de compra, pocas quejas y baja intención de abandono.</w:t>
      </w:r>
    </w:p>
    <w:p>
      <w:pPr>
        <w:pStyle w:val="Heading2"/>
      </w:pPr>
      <w:r>
        <w:t>7.2 Perfil Categórico</w:t>
      </w:r>
    </w:p>
    <w:p>
      <w:r>
        <w:t>Se calculó la moda (categoría más frecuente) de cada variable categórica por cluster: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6B" w:val="clear"/>
          </w:tcPr>
          <w:p>
            <w:pPr>
              <w:jc w:val="center"/>
            </w:pPr>
            <w:r/>
            <w:r>
              <w:rPr>
                <w:b/>
                <w:color w:val="FFFFFF"/>
                <w:sz w:val="20"/>
              </w:rPr>
              <w:t>Cluster</w:t>
            </w:r>
          </w:p>
        </w:tc>
        <w:tc>
          <w:tcPr>
            <w:tcW w:type="dxa" w:w="1440"/>
            <w:shd w:fill="1B3A6B" w:val="clear"/>
          </w:tcPr>
          <w:p>
            <w:pPr>
              <w:jc w:val="center"/>
            </w:pPr>
            <w:r/>
            <w:r>
              <w:rPr>
                <w:b/>
                <w:color w:val="FFFFFF"/>
                <w:sz w:val="20"/>
              </w:rPr>
              <w:t>Ciudad</w:t>
            </w:r>
          </w:p>
        </w:tc>
        <w:tc>
          <w:tcPr>
            <w:tcW w:type="dxa" w:w="1440"/>
            <w:shd w:fill="1B3A6B" w:val="clear"/>
          </w:tcPr>
          <w:p>
            <w:pPr>
              <w:jc w:val="center"/>
            </w:pPr>
            <w:r/>
            <w:r>
              <w:rPr>
                <w:b/>
                <w:color w:val="FFFFFF"/>
                <w:sz w:val="20"/>
              </w:rPr>
              <w:t>CanalPreferido</w:t>
            </w:r>
          </w:p>
        </w:tc>
        <w:tc>
          <w:tcPr>
            <w:tcW w:type="dxa" w:w="1440"/>
            <w:shd w:fill="1B3A6B" w:val="clear"/>
          </w:tcPr>
          <w:p>
            <w:pPr>
              <w:jc w:val="center"/>
            </w:pPr>
            <w:r/>
            <w:r>
              <w:rPr>
                <w:b/>
                <w:color w:val="FFFFFF"/>
                <w:sz w:val="20"/>
              </w:rPr>
              <w:t>ZonaResidencia</w:t>
            </w:r>
          </w:p>
        </w:tc>
        <w:tc>
          <w:tcPr>
            <w:tcW w:type="dxa" w:w="1440"/>
            <w:shd w:fill="1B3A6B" w:val="clear"/>
          </w:tcPr>
          <w:p>
            <w:pPr>
              <w:jc w:val="center"/>
            </w:pPr>
            <w:r/>
            <w:r>
              <w:rPr>
                <w:b/>
                <w:color w:val="FFFFFF"/>
                <w:sz w:val="20"/>
              </w:rPr>
              <w:t>Segmento</w:t>
            </w:r>
          </w:p>
        </w:tc>
        <w:tc>
          <w:tcPr>
            <w:tcW w:type="dxa" w:w="1440"/>
            <w:shd w:fill="1B3A6B" w:val="clear"/>
          </w:tcPr>
          <w:p>
            <w:pPr>
              <w:jc w:val="center"/>
            </w:pPr>
            <w:r/>
            <w:r>
              <w:rPr>
                <w:b/>
                <w:color w:val="FFFFFF"/>
                <w:sz w:val="20"/>
              </w:rPr>
              <w:t>Satisfaccion</w:t>
            </w:r>
          </w:p>
        </w:tc>
      </w:tr>
      <w:tr>
        <w:tc>
          <w:tcPr>
            <w:tcW w:type="dxa" w:w="1440"/>
            <w:shd w:fill="F2F6FA" w:val="clear"/>
          </w:tcPr>
          <w:p>
            <w:pPr>
              <w:jc w:val="center"/>
            </w:pPr>
            <w:r/>
            <w:r>
              <w:rPr>
                <w:sz w:val="20"/>
              </w:rPr>
              <w:t>0</w:t>
            </w:r>
          </w:p>
        </w:tc>
        <w:tc>
          <w:tcPr>
            <w:tcW w:type="dxa" w:w="1440"/>
            <w:shd w:fill="F2F6FA" w:val="clear"/>
          </w:tcPr>
          <w:p>
            <w:pPr>
              <w:jc w:val="center"/>
            </w:pPr>
            <w:r/>
            <w:r>
              <w:rPr>
                <w:sz w:val="20"/>
              </w:rPr>
              <w:t>Bogota</w:t>
            </w:r>
          </w:p>
        </w:tc>
        <w:tc>
          <w:tcPr>
            <w:tcW w:type="dxa" w:w="1440"/>
            <w:shd w:fill="F2F6FA" w:val="clear"/>
          </w:tcPr>
          <w:p>
            <w:pPr>
              <w:jc w:val="center"/>
            </w:pPr>
            <w:r/>
            <w:r>
              <w:rPr>
                <w:sz w:val="20"/>
              </w:rPr>
              <w:t>Web</w:t>
            </w:r>
          </w:p>
        </w:tc>
        <w:tc>
          <w:tcPr>
            <w:tcW w:type="dxa" w:w="1440"/>
            <w:shd w:fill="F2F6FA" w:val="clear"/>
          </w:tcPr>
          <w:p>
            <w:pPr>
              <w:jc w:val="center"/>
            </w:pPr>
            <w:r/>
            <w:r>
              <w:rPr>
                <w:sz w:val="20"/>
              </w:rPr>
              <w:t>Urbana</w:t>
            </w:r>
          </w:p>
        </w:tc>
        <w:tc>
          <w:tcPr>
            <w:tcW w:type="dxa" w:w="1440"/>
            <w:shd w:fill="F2F6FA" w:val="clear"/>
          </w:tcPr>
          <w:p>
            <w:pPr>
              <w:jc w:val="center"/>
            </w:pPr>
            <w:r/>
            <w:r>
              <w:rPr>
                <w:sz w:val="20"/>
              </w:rPr>
              <w:t>Basico</w:t>
            </w:r>
          </w:p>
        </w:tc>
        <w:tc>
          <w:tcPr>
            <w:tcW w:type="dxa" w:w="1440"/>
            <w:shd w:fill="F2F6FA" w:val="clear"/>
          </w:tcPr>
          <w:p>
            <w:pPr>
              <w:jc w:val="center"/>
            </w:pPr>
            <w:r/>
            <w:r>
              <w:rPr>
                <w:sz w:val="20"/>
              </w:rPr>
              <w:t>Media</w:t>
            </w:r>
          </w:p>
        </w:tc>
      </w:tr>
      <w:tr>
        <w:tc>
          <w:tcPr>
            <w:tcW w:type="dxa" w:w="1440"/>
          </w:tcPr>
          <w:p>
            <w:pPr>
              <w:jc w:val="center"/>
            </w:pPr>
            <w:r/>
            <w:r>
              <w:rPr>
                <w:sz w:val="20"/>
              </w:rPr>
              <w:t>1</w:t>
            </w:r>
          </w:p>
        </w:tc>
        <w:tc>
          <w:tcPr>
            <w:tcW w:type="dxa" w:w="1440"/>
          </w:tcPr>
          <w:p>
            <w:pPr>
              <w:jc w:val="center"/>
            </w:pPr>
            <w:r/>
            <w:r>
              <w:rPr>
                <w:sz w:val="20"/>
              </w:rPr>
              <w:t>Bogota</w:t>
            </w:r>
          </w:p>
        </w:tc>
        <w:tc>
          <w:tcPr>
            <w:tcW w:type="dxa" w:w="1440"/>
          </w:tcPr>
          <w:p>
            <w:pPr>
              <w:jc w:val="center"/>
            </w:pPr>
            <w:r/>
            <w:r>
              <w:rPr>
                <w:sz w:val="20"/>
              </w:rPr>
              <w:t>Web</w:t>
            </w:r>
          </w:p>
        </w:tc>
        <w:tc>
          <w:tcPr>
            <w:tcW w:type="dxa" w:w="1440"/>
          </w:tcPr>
          <w:p>
            <w:pPr>
              <w:jc w:val="center"/>
            </w:pPr>
            <w:r/>
            <w:r>
              <w:rPr>
                <w:sz w:val="20"/>
              </w:rPr>
              <w:t>Urbana</w:t>
            </w:r>
          </w:p>
        </w:tc>
        <w:tc>
          <w:tcPr>
            <w:tcW w:type="dxa" w:w="1440"/>
          </w:tcPr>
          <w:p>
            <w:pPr>
              <w:jc w:val="center"/>
            </w:pPr>
            <w:r/>
            <w:r>
              <w:rPr>
                <w:sz w:val="20"/>
              </w:rPr>
              <w:t>Basico</w:t>
            </w:r>
          </w:p>
        </w:tc>
        <w:tc>
          <w:tcPr>
            <w:tcW w:type="dxa" w:w="1440"/>
          </w:tcPr>
          <w:p>
            <w:pPr>
              <w:jc w:val="center"/>
            </w:pPr>
            <w:r/>
            <w:r>
              <w:rPr>
                <w:sz w:val="20"/>
              </w:rPr>
              <w:t>Baja</w:t>
            </w:r>
          </w:p>
        </w:tc>
      </w:tr>
      <w:tr>
        <w:tc>
          <w:tcPr>
            <w:tcW w:type="dxa" w:w="1440"/>
            <w:shd w:fill="F2F6FA" w:val="clear"/>
          </w:tcPr>
          <w:p>
            <w:pPr>
              <w:jc w:val="center"/>
            </w:pPr>
            <w:r/>
            <w:r>
              <w:rPr>
                <w:sz w:val="20"/>
              </w:rPr>
              <w:t>2</w:t>
            </w:r>
          </w:p>
        </w:tc>
        <w:tc>
          <w:tcPr>
            <w:tcW w:type="dxa" w:w="1440"/>
            <w:shd w:fill="F2F6FA" w:val="clear"/>
          </w:tcPr>
          <w:p>
            <w:pPr>
              <w:jc w:val="center"/>
            </w:pPr>
            <w:r/>
            <w:r>
              <w:rPr>
                <w:sz w:val="20"/>
              </w:rPr>
              <w:t>Bogota</w:t>
            </w:r>
          </w:p>
        </w:tc>
        <w:tc>
          <w:tcPr>
            <w:tcW w:type="dxa" w:w="1440"/>
            <w:shd w:fill="F2F6FA" w:val="clear"/>
          </w:tcPr>
          <w:p>
            <w:pPr>
              <w:jc w:val="center"/>
            </w:pPr>
            <w:r/>
            <w:r>
              <w:rPr>
                <w:sz w:val="20"/>
              </w:rPr>
              <w:t>Web</w:t>
            </w:r>
          </w:p>
        </w:tc>
        <w:tc>
          <w:tcPr>
            <w:tcW w:type="dxa" w:w="1440"/>
            <w:shd w:fill="F2F6FA" w:val="clear"/>
          </w:tcPr>
          <w:p>
            <w:pPr>
              <w:jc w:val="center"/>
            </w:pPr>
            <w:r/>
            <w:r>
              <w:rPr>
                <w:sz w:val="20"/>
              </w:rPr>
              <w:t>Urbana</w:t>
            </w:r>
          </w:p>
        </w:tc>
        <w:tc>
          <w:tcPr>
            <w:tcW w:type="dxa" w:w="1440"/>
            <w:shd w:fill="F2F6FA" w:val="clear"/>
          </w:tcPr>
          <w:p>
            <w:pPr>
              <w:jc w:val="center"/>
            </w:pPr>
            <w:r/>
            <w:r>
              <w:rPr>
                <w:sz w:val="20"/>
              </w:rPr>
              <w:t>Basico</w:t>
            </w:r>
          </w:p>
        </w:tc>
        <w:tc>
          <w:tcPr>
            <w:tcW w:type="dxa" w:w="1440"/>
            <w:shd w:fill="F2F6FA" w:val="clear"/>
          </w:tcPr>
          <w:p>
            <w:pPr>
              <w:jc w:val="center"/>
            </w:pPr>
            <w:r/>
            <w:r>
              <w:rPr>
                <w:sz w:val="20"/>
              </w:rPr>
              <w:t>Media</w:t>
            </w:r>
          </w:p>
        </w:tc>
      </w:tr>
    </w:tbl>
    <w:p>
      <w:r>
        <w:t>Análisis del perfil categórico:</w:t>
        <w:br/>
        <w:t>- Todos los clusters tienen como ciudad modal Bogotá y zona urbana, lo cual refleja la composición general del dataset.</w:t>
        <w:br/>
        <w:t>- El canal preferido es Web en los tres clusters, indicando una tendencia general hacia canales digitales.</w:t>
        <w:br/>
        <w:t>- El segmento modal en todos los clusters es Básico, lo cual es consistente con la distribución del dataset.</w:t>
        <w:br/>
        <w:t>- La diferencia clave está en Satisfacción: el Cluster 1 (en riesgo) tiene moda Baja, mientras que los Clusters 0 y 2 tienen moda Media.</w:t>
      </w:r>
    </w:p>
    <w:p>
      <w:pPr>
        <w:pStyle w:val="Heading2"/>
      </w:pPr>
      <w:r>
        <w:t>7.3 Análisis de Abandono por Cluster</w:t>
      </w:r>
    </w:p>
    <w:p>
      <w:r>
        <w:t>La variable Abandono se utilizó como validación externa para evaluar la utilidad de los segmentos: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6B" w:val="clear"/>
          </w:tcPr>
          <w:p>
            <w:pPr>
              <w:jc w:val="center"/>
            </w:pPr>
            <w:r/>
            <w:r>
              <w:rPr>
                <w:b/>
                <w:color w:val="FFFFFF"/>
                <w:sz w:val="20"/>
              </w:rPr>
              <w:t>Cluster</w:t>
            </w:r>
          </w:p>
        </w:tc>
        <w:tc>
          <w:tcPr>
            <w:tcW w:type="dxa" w:w="2880"/>
            <w:shd w:fill="1B3A6B" w:val="clear"/>
          </w:tcPr>
          <w:p>
            <w:pPr>
              <w:jc w:val="center"/>
            </w:pPr>
            <w:r/>
            <w:r>
              <w:rPr>
                <w:b/>
                <w:color w:val="FFFFFF"/>
                <w:sz w:val="20"/>
              </w:rPr>
              <w:t>Cantidad Clientes</w:t>
            </w:r>
          </w:p>
        </w:tc>
        <w:tc>
          <w:tcPr>
            <w:tcW w:type="dxa" w:w="2880"/>
            <w:shd w:fill="1B3A6B" w:val="clear"/>
          </w:tcPr>
          <w:p>
            <w:pPr>
              <w:jc w:val="center"/>
            </w:pPr>
            <w:r/>
            <w:r>
              <w:rPr>
                <w:b/>
                <w:color w:val="FFFFFF"/>
                <w:sz w:val="20"/>
              </w:rPr>
              <w:t>Tasa de Abandono (%)</w:t>
            </w:r>
          </w:p>
        </w:tc>
      </w:tr>
      <w:tr>
        <w:tc>
          <w:tcPr>
            <w:tcW w:type="dxa" w:w="2880"/>
            <w:shd w:fill="F2F6FA" w:val="clear"/>
          </w:tcPr>
          <w:p>
            <w:pPr>
              <w:jc w:val="center"/>
            </w:pPr>
            <w:r/>
            <w:r>
              <w:rPr>
                <w:sz w:val="20"/>
              </w:rPr>
              <w:t>0 - Estables</w:t>
            </w:r>
          </w:p>
        </w:tc>
        <w:tc>
          <w:tcPr>
            <w:tcW w:type="dxa" w:w="2880"/>
            <w:shd w:fill="F2F6FA" w:val="clear"/>
          </w:tcPr>
          <w:p>
            <w:pPr>
              <w:jc w:val="center"/>
            </w:pPr>
            <w:r/>
            <w:r>
              <w:rPr>
                <w:sz w:val="20"/>
              </w:rPr>
              <w:t>161</w:t>
            </w:r>
          </w:p>
        </w:tc>
        <w:tc>
          <w:tcPr>
            <w:tcW w:type="dxa" w:w="2880"/>
            <w:shd w:fill="F2F6FA" w:val="clear"/>
          </w:tcPr>
          <w:p>
            <w:pPr>
              <w:jc w:val="center"/>
            </w:pPr>
            <w:r/>
            <w:r>
              <w:rPr>
                <w:sz w:val="20"/>
              </w:rPr>
              <w:t>36.65</w:t>
            </w:r>
          </w:p>
        </w:tc>
      </w:tr>
      <w:tr>
        <w:tc>
          <w:tcPr>
            <w:tcW w:type="dxa" w:w="2880"/>
          </w:tcPr>
          <w:p>
            <w:pPr>
              <w:jc w:val="center"/>
            </w:pPr>
            <w:r/>
            <w:r>
              <w:rPr>
                <w:sz w:val="20"/>
              </w:rPr>
              <w:t>1 - En Riesgo</w:t>
            </w:r>
          </w:p>
        </w:tc>
        <w:tc>
          <w:tcPr>
            <w:tcW w:type="dxa" w:w="2880"/>
          </w:tcPr>
          <w:p>
            <w:pPr>
              <w:jc w:val="center"/>
            </w:pPr>
            <w:r/>
            <w:r>
              <w:rPr>
                <w:sz w:val="20"/>
              </w:rPr>
              <w:t>106</w:t>
            </w:r>
          </w:p>
        </w:tc>
        <w:tc>
          <w:tcPr>
            <w:tcW w:type="dxa" w:w="2880"/>
          </w:tcPr>
          <w:p>
            <w:pPr>
              <w:jc w:val="center"/>
            </w:pPr>
            <w:r/>
            <w:r>
              <w:rPr>
                <w:sz w:val="20"/>
              </w:rPr>
              <w:t>65.09</w:t>
            </w:r>
          </w:p>
        </w:tc>
      </w:tr>
      <w:tr>
        <w:tc>
          <w:tcPr>
            <w:tcW w:type="dxa" w:w="2880"/>
            <w:shd w:fill="F2F6FA" w:val="clear"/>
          </w:tcPr>
          <w:p>
            <w:pPr>
              <w:jc w:val="center"/>
            </w:pPr>
            <w:r/>
            <w:r>
              <w:rPr>
                <w:sz w:val="20"/>
              </w:rPr>
              <w:t>2 - Leales</w:t>
            </w:r>
          </w:p>
        </w:tc>
        <w:tc>
          <w:tcPr>
            <w:tcW w:type="dxa" w:w="2880"/>
            <w:shd w:fill="F2F6FA" w:val="clear"/>
          </w:tcPr>
          <w:p>
            <w:pPr>
              <w:jc w:val="center"/>
            </w:pPr>
            <w:r/>
            <w:r>
              <w:rPr>
                <w:sz w:val="20"/>
              </w:rPr>
              <w:t>153</w:t>
            </w:r>
          </w:p>
        </w:tc>
        <w:tc>
          <w:tcPr>
            <w:tcW w:type="dxa" w:w="2880"/>
            <w:shd w:fill="F2F6FA" w:val="clear"/>
          </w:tcPr>
          <w:p>
            <w:pPr>
              <w:jc w:val="center"/>
            </w:pPr>
            <w:r/>
            <w:r>
              <w:rPr>
                <w:sz w:val="20"/>
              </w:rPr>
              <w:t>33.99</w:t>
            </w:r>
          </w:p>
        </w:tc>
      </w:tr>
    </w:tbl>
    <w:p>
      <w:r>
        <w:t>El análisis de abandono valida los segmentos encontrados:</w:t>
        <w:br/>
        <w:t>- Cluster 1 (En Riesgo): 65.09% de abandono, casi el doble que los otros grupos.</w:t>
        <w:br/>
        <w:t>- Cluster 0 (Estables): 36.65% de abandono, nivel medio.</w:t>
        <w:br/>
        <w:t>- Cluster 2 (Leales): 33.99% de abandono, el más bajo.</w:t>
        <w:br/>
        <w:br/>
        <w:t>Esto demuestra que los clusters identificados tienen poder discriminante respecto al comportamiento de abandono, lo cual es valioso para estrategias de retención.</w:t>
      </w:r>
    </w:p>
    <w:p>
      <w:r>
        <w:drawing>
          <wp:inline xmlns:a="http://schemas.openxmlformats.org/drawingml/2006/main" xmlns:pic="http://schemas.openxmlformats.org/drawingml/2006/picture">
            <wp:extent cx="4114800" cy="2234045"/>
            <wp:docPr id="3" name="Picture 3"/>
            <wp:cNvGraphicFramePr>
              <a:graphicFrameLocks noChangeAspect="1"/>
            </wp:cNvGraphicFramePr>
            <a:graphic>
              <a:graphicData uri="http://schemas.openxmlformats.org/drawingml/2006/picture">
                <pic:pic>
                  <pic:nvPicPr>
                    <pic:cNvPr id="0" name="fig_barras.png"/>
                    <pic:cNvPicPr/>
                  </pic:nvPicPr>
                  <pic:blipFill>
                    <a:blip r:embed="rId11"/>
                    <a:stretch>
                      <a:fillRect/>
                    </a:stretch>
                  </pic:blipFill>
                  <pic:spPr>
                    <a:xfrm>
                      <a:off x="0" y="0"/>
                      <a:ext cx="4114800" cy="2234045"/>
                    </a:xfrm>
                    <a:prstGeom prst="rect"/>
                  </pic:spPr>
                </pic:pic>
              </a:graphicData>
            </a:graphic>
          </wp:inline>
        </w:drawing>
      </w:r>
    </w:p>
    <w:p>
      <w:pPr>
        <w:jc w:val="center"/>
      </w:pPr>
      <w:r>
        <w:rPr>
          <w:i/>
          <w:color w:val="AAAAAA"/>
          <w:sz w:val="18"/>
        </w:rPr>
        <w:t>Figura 3: Distribución de clientes por cluster (gráfico de barras)</w:t>
      </w:r>
    </w:p>
    <w:p>
      <w:pPr>
        <w:pStyle w:val="Heading1"/>
      </w:pPr>
      <w:r>
        <w:t>8. Visualizaciones</w:t>
      </w:r>
    </w:p>
    <w:p>
      <w:pPr>
        <w:pStyle w:val="Heading2"/>
      </w:pPr>
      <w:r>
        <w:t>8.1 Dispersión sin Clusters</w:t>
      </w:r>
    </w:p>
    <w:p>
      <w:r>
        <w:t>La gráfica de dispersión de Ingreso Mensual vs. Cantidad de Compras sin clusterizar muestra la distribución general de los datos antes de la segmentación. Se observa una nube de puntos sin una separación evidente a simple vista.</w:t>
      </w:r>
    </w:p>
    <w:p>
      <w:r>
        <w:drawing>
          <wp:inline xmlns:a="http://schemas.openxmlformats.org/drawingml/2006/main" xmlns:pic="http://schemas.openxmlformats.org/drawingml/2006/picture">
            <wp:extent cx="5029200" cy="3433488"/>
            <wp:docPr id="4" name="Picture 4"/>
            <wp:cNvGraphicFramePr>
              <a:graphicFrameLocks noChangeAspect="1"/>
            </wp:cNvGraphicFramePr>
            <a:graphic>
              <a:graphicData uri="http://schemas.openxmlformats.org/drawingml/2006/picture">
                <pic:pic>
                  <pic:nvPicPr>
                    <pic:cNvPr id="0" name="fig_dispersion_sin.png"/>
                    <pic:cNvPicPr/>
                  </pic:nvPicPr>
                  <pic:blipFill>
                    <a:blip r:embed="rId12"/>
                    <a:stretch>
                      <a:fillRect/>
                    </a:stretch>
                  </pic:blipFill>
                  <pic:spPr>
                    <a:xfrm>
                      <a:off x="0" y="0"/>
                      <a:ext cx="5029200" cy="3433488"/>
                    </a:xfrm>
                    <a:prstGeom prst="rect"/>
                  </pic:spPr>
                </pic:pic>
              </a:graphicData>
            </a:graphic>
          </wp:inline>
        </w:drawing>
      </w:r>
    </w:p>
    <w:p>
      <w:pPr>
        <w:jc w:val="center"/>
      </w:pPr>
      <w:r>
        <w:rPr>
          <w:i/>
          <w:color w:val="AAAAAA"/>
          <w:sz w:val="18"/>
        </w:rPr>
        <w:t>Figura 4: Dispersión inicial - Ingreso mensual vs Cantidad de compras</w:t>
      </w:r>
    </w:p>
    <w:p>
      <w:pPr>
        <w:pStyle w:val="Heading2"/>
      </w:pPr>
      <w:r>
        <w:t>8.2 Dispersión con Clusters (k=3)</w:t>
      </w:r>
    </w:p>
    <w:p>
      <w:r>
        <w:t>Al colorear los puntos según el cluster asignado, se aprecia una separación parcial entre los grupos, especialmente en el eje de Cantidad de Compras. El Cluster 2 (Leales) tiende a concentrarse en valores altos de compras, mientras que el Cluster 1 (En Riesgo) se distribuye con mayor dispersión.</w:t>
      </w:r>
    </w:p>
    <w:p>
      <w:r>
        <w:drawing>
          <wp:inline xmlns:a="http://schemas.openxmlformats.org/drawingml/2006/main" xmlns:pic="http://schemas.openxmlformats.org/drawingml/2006/picture">
            <wp:extent cx="5029200" cy="3433488"/>
            <wp:docPr id="5" name="Picture 5"/>
            <wp:cNvGraphicFramePr>
              <a:graphicFrameLocks noChangeAspect="1"/>
            </wp:cNvGraphicFramePr>
            <a:graphic>
              <a:graphicData uri="http://schemas.openxmlformats.org/drawingml/2006/picture">
                <pic:pic>
                  <pic:nvPicPr>
                    <pic:cNvPr id="0" name="fig_dispersion_con.png"/>
                    <pic:cNvPicPr/>
                  </pic:nvPicPr>
                  <pic:blipFill>
                    <a:blip r:embed="rId13"/>
                    <a:stretch>
                      <a:fillRect/>
                    </a:stretch>
                  </pic:blipFill>
                  <pic:spPr>
                    <a:xfrm>
                      <a:off x="0" y="0"/>
                      <a:ext cx="5029200" cy="3433488"/>
                    </a:xfrm>
                    <a:prstGeom prst="rect"/>
                  </pic:spPr>
                </pic:pic>
              </a:graphicData>
            </a:graphic>
          </wp:inline>
        </w:drawing>
      </w:r>
    </w:p>
    <w:p>
      <w:pPr>
        <w:jc w:val="center"/>
      </w:pPr>
      <w:r>
        <w:rPr>
          <w:i/>
          <w:color w:val="AAAAAA"/>
          <w:sz w:val="18"/>
        </w:rPr>
        <w:t>Figura 5: Dispersión con clusters - Ingreso mensual vs Cantidad de compras</w:t>
      </w:r>
    </w:p>
    <w:p>
      <w:pPr>
        <w:pStyle w:val="Heading2"/>
      </w:pPr>
      <w:r>
        <w:t>8.3 Visualización PCA</w:t>
      </w:r>
    </w:p>
    <w:p>
      <w:r>
        <w:t>PCA reduce las 24 dimensiones de la matriz preprocesada a 2 componentes principales, permitiendo visualizar la estructura general de los clusters.</w:t>
      </w:r>
    </w:p>
    <w:p>
      <w:r>
        <w:t>Varianza explicada: PC1 = 12.22%, PC2 = 12.09%, total = 24.31%. Aunque la varianza explicada es moderada (lo cual es esperado con datos heterogéneos), la proyección visual muestra cierta separación entre los clusters.</w:t>
      </w:r>
    </w:p>
    <w:p>
      <w:r>
        <w:drawing>
          <wp:inline xmlns:a="http://schemas.openxmlformats.org/drawingml/2006/main" xmlns:pic="http://schemas.openxmlformats.org/drawingml/2006/picture">
            <wp:extent cx="5029200" cy="3528527"/>
            <wp:docPr id="6" name="Picture 6"/>
            <wp:cNvGraphicFramePr>
              <a:graphicFrameLocks noChangeAspect="1"/>
            </wp:cNvGraphicFramePr>
            <a:graphic>
              <a:graphicData uri="http://schemas.openxmlformats.org/drawingml/2006/picture">
                <pic:pic>
                  <pic:nvPicPr>
                    <pic:cNvPr id="0" name="fig_pca.png"/>
                    <pic:cNvPicPr/>
                  </pic:nvPicPr>
                  <pic:blipFill>
                    <a:blip r:embed="rId14"/>
                    <a:stretch>
                      <a:fillRect/>
                    </a:stretch>
                  </pic:blipFill>
                  <pic:spPr>
                    <a:xfrm>
                      <a:off x="0" y="0"/>
                      <a:ext cx="5029200" cy="3528527"/>
                    </a:xfrm>
                    <a:prstGeom prst="rect"/>
                  </pic:spPr>
                </pic:pic>
              </a:graphicData>
            </a:graphic>
          </wp:inline>
        </w:drawing>
      </w:r>
    </w:p>
    <w:p>
      <w:pPr>
        <w:jc w:val="center"/>
      </w:pPr>
      <w:r>
        <w:rPr>
          <w:i/>
          <w:color w:val="AAAAAA"/>
          <w:sz w:val="18"/>
        </w:rPr>
        <w:t>Figura 6: Visualización de clusters con PCA (2 componentes)</w:t>
      </w:r>
    </w:p>
    <w:p>
      <w:pPr>
        <w:pStyle w:val="Heading2"/>
      </w:pPr>
      <w:r>
        <w:t>8.4 Distribución por Cluster</w:t>
      </w:r>
    </w:p>
    <w:p>
      <w:r>
        <w:t>La gráfica de barras muestra la cantidad de clientes en cada cluster: 161 en el Cluster 0, 106 en el Cluster 1 y 153 en el Cluster 2.</w:t>
      </w:r>
    </w:p>
    <w:p>
      <w:pPr>
        <w:pStyle w:val="Heading2"/>
      </w:pPr>
      <w:r>
        <w:t>8.5 Diagramas de Caja (Boxplots)</w:t>
      </w:r>
    </w:p>
    <w:p>
      <w:r>
        <w:t>Los diagramas de caja permiten comparar la distribución de las variables numéricas entre los clusters, identificando medianas, cuartiles y valores atípicos.</w:t>
      </w:r>
    </w:p>
    <w:p>
      <w:r>
        <w:drawing>
          <wp:inline xmlns:a="http://schemas.openxmlformats.org/drawingml/2006/main" xmlns:pic="http://schemas.openxmlformats.org/drawingml/2006/picture">
            <wp:extent cx="5029200" cy="3075999"/>
            <wp:docPr id="7" name="Picture 7"/>
            <wp:cNvGraphicFramePr>
              <a:graphicFrameLocks noChangeAspect="1"/>
            </wp:cNvGraphicFramePr>
            <a:graphic>
              <a:graphicData uri="http://schemas.openxmlformats.org/drawingml/2006/picture">
                <pic:pic>
                  <pic:nvPicPr>
                    <pic:cNvPr id="0" name="fig_boxplots.png"/>
                    <pic:cNvPicPr/>
                  </pic:nvPicPr>
                  <pic:blipFill>
                    <a:blip r:embed="rId15"/>
                    <a:stretch>
                      <a:fillRect/>
                    </a:stretch>
                  </pic:blipFill>
                  <pic:spPr>
                    <a:xfrm>
                      <a:off x="0" y="0"/>
                      <a:ext cx="5029200" cy="3075999"/>
                    </a:xfrm>
                    <a:prstGeom prst="rect"/>
                  </pic:spPr>
                </pic:pic>
              </a:graphicData>
            </a:graphic>
          </wp:inline>
        </w:drawing>
      </w:r>
    </w:p>
    <w:p>
      <w:pPr>
        <w:jc w:val="center"/>
      </w:pPr>
      <w:r>
        <w:rPr>
          <w:i/>
          <w:color w:val="AAAAAA"/>
          <w:sz w:val="18"/>
        </w:rPr>
        <w:t>Figura 7: Diagramas de caja por cluster para las principales variables numéricas</w:t>
      </w:r>
    </w:p>
    <w:p>
      <w:pPr>
        <w:pStyle w:val="Heading2"/>
      </w:pPr>
      <w:r>
        <w:t>8.6 Matriz de Correlación</w:t>
      </w:r>
    </w:p>
    <w:p>
      <w:r>
        <w:t>La matriz de correlación muestra las relaciones lineales entre las variables numéricas. Se observan correlaciones positivas entre IngresoMensual y CantidadCompras, y entre AntiguedadMeses y CantidadCompras, mientras que QuejasUltimos6M muestra correlación negativa con Satisfacción.</w:t>
      </w:r>
    </w:p>
    <w:p>
      <w:r>
        <w:drawing>
          <wp:inline xmlns:a="http://schemas.openxmlformats.org/drawingml/2006/main" xmlns:pic="http://schemas.openxmlformats.org/drawingml/2006/picture">
            <wp:extent cx="5029200" cy="4012687"/>
            <wp:docPr id="8" name="Picture 8"/>
            <wp:cNvGraphicFramePr>
              <a:graphicFrameLocks noChangeAspect="1"/>
            </wp:cNvGraphicFramePr>
            <a:graphic>
              <a:graphicData uri="http://schemas.openxmlformats.org/drawingml/2006/picture">
                <pic:pic>
                  <pic:nvPicPr>
                    <pic:cNvPr id="0" name="fig_correlacion.png"/>
                    <pic:cNvPicPr/>
                  </pic:nvPicPr>
                  <pic:blipFill>
                    <a:blip r:embed="rId16"/>
                    <a:stretch>
                      <a:fillRect/>
                    </a:stretch>
                  </pic:blipFill>
                  <pic:spPr>
                    <a:xfrm>
                      <a:off x="0" y="0"/>
                      <a:ext cx="5029200" cy="4012687"/>
                    </a:xfrm>
                    <a:prstGeom prst="rect"/>
                  </pic:spPr>
                </pic:pic>
              </a:graphicData>
            </a:graphic>
          </wp:inline>
        </w:drawing>
      </w:r>
    </w:p>
    <w:p>
      <w:pPr>
        <w:jc w:val="center"/>
      </w:pPr>
      <w:r>
        <w:rPr>
          <w:i/>
          <w:color w:val="AAAAAA"/>
          <w:sz w:val="18"/>
        </w:rPr>
        <w:t>Figura 8: Matriz de correlación de las variables numéricas</w:t>
      </w:r>
    </w:p>
    <w:p>
      <w:pPr>
        <w:pStyle w:val="Heading1"/>
      </w:pPr>
      <w:r>
        <w:t>9. Conclusiones</w:t>
      </w:r>
    </w:p>
    <w:p>
      <w:r>
        <w:t>1. Se segmentó exitosamente la base de 420 clientes en 3 grupos homogéneos utilizando K-Means, demostrando la aplicabilidad del aprendizaje no supervisado en inteligencia de negocios.</w:t>
      </w:r>
    </w:p>
    <w:p>
      <w:r>
        <w:t>2. El método del codo evidenció un punto de inflexión en k=3 con una reducción de inercia del 7.22%, mientras que el Silhouette Score confirmó que k=3 es una opción razonable (0.0823).</w:t>
      </w:r>
    </w:p>
    <w:p>
      <w:r>
        <w:t>3. Los tres segmentos identificados presentan perfiles diferenciados: Clientes Estables (38.3%, baja actividad, uso de cupones), Clientes en Riesgo (25.2%, altas quejas, alta probabilidad de abandono) y Clientes Leales (36.4%, alta antigüedad, alta frecuencia de compra, baja tasa de abandono).</w:t>
      </w:r>
    </w:p>
    <w:p>
      <w:r>
        <w:t>4. El análisis de abandono validó externamente los clusters: el Cluster 1 presenta una tasa de abandono del 65.09%, casi el doble que los otros grupos, confirmando que los segmentos capturan diferencias reales en el comportamiento del cliente.</w:t>
      </w:r>
    </w:p>
    <w:p>
      <w:r>
        <w:t>5. Las visualizaciones (dispersión, PCA, boxplots, correlación) complementaron el análisis numérico y facilitaron la interpretación de los segmentos.</w:t>
      </w:r>
    </w:p>
    <w:p>
      <w:r>
        <w:t>6. La metodología aplicada puede extenderse a futuros análisis incluyendo más variables o probando otros algoritmos de clustering (DBSCAN, clustering jerárquico).</w:t>
      </w:r>
    </w:p>
    <w:p>
      <w:pPr>
        <w:pStyle w:val="Heading1"/>
      </w:pPr>
      <w:r>
        <w:t>10. Recomendaciones</w:t>
      </w:r>
    </w:p>
    <w:p>
      <w:r>
        <w:t>1. Para el Cluster 1 (En Riesgo): implementar un programa de retención urgente, investigar las causas de las quejas (2.82 en promedio), ofrecer incentivos personalizados y realizar seguimiento proactivo para reducir la tasa de abandono del 65%.</w:t>
      </w:r>
    </w:p>
    <w:p>
      <w:r>
        <w:t>2. Para el Cluster 2 (Leales): diseñar un programa de fidelización que reconozca su lealtad, ofrecer beneficios exclusivos y aprovechar su alta frecuencia de compra para campañas de cross-selling y up-selling.</w:t>
      </w:r>
    </w:p>
    <w:p>
      <w:r>
        <w:t>3. Para el Cluster 0 (Estables): incentivar el aumento de compras mediante promociones dirigidas, aprovechar su alta disposición al uso de cupones y fomentar su transición hacia clientes de mayor valor.</w:t>
      </w:r>
    </w:p>
    <w:p>
      <w:r>
        <w:t>4. Monitorear periódicamente la asignación de clusters para detectar cambios en el comportamiento de los clientes y ajustar las estrategias comerciales.</w:t>
      </w:r>
    </w:p>
    <w:p>
      <w:pPr>
        <w:pStyle w:val="Heading1"/>
      </w:pPr>
      <w:r>
        <w:t>11. Referencias</w:t>
      </w:r>
    </w:p>
    <w:p>
      <w:r>
        <w:t>1. SENA. (2026). Guía 4 - Preparación de datasets para aprendizaje no supervisado. Centro de Gestión de Mercados, Logística y Tecnologías de la Información.</w:t>
      </w:r>
    </w:p>
    <w:p>
      <w:r>
        <w:t>2. Pedregosa, F. et al. (2011). Scikit-learn: Machine Learning in Python. Journal of Machine Learning Research, 12, 2825-2830.</w:t>
      </w:r>
    </w:p>
    <w:p>
      <w:r>
        <w:t>3. McKinney, W. (2010). Data Structures for Statistical Computing in Python. Proceedings of the 9th Python in Science Conference.</w:t>
      </w:r>
    </w:p>
    <w:p>
      <w:r>
        <w:t>4. Hunter, J. D. (2007). Matplotlib: A 2D Graphics Environment. Computing in Science &amp; Engineering, 9(3), 90-95.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