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766E"/>
          <w:sz w:val="36"/>
        </w:rPr>
        <w:t>Manual teórico G6V1: Integración de datos desde múltiples fuentes</w:t>
      </w:r>
    </w:p>
    <w:p>
      <w:pPr>
        <w:jc w:val="center"/>
      </w:pPr>
      <w:r>
        <w:rPr>
          <w:i/>
          <w:color w:val="4B5563"/>
          <w:sz w:val="22"/>
        </w:rPr>
        <w:t>CSV, Excel, JSON y SQL relacional</w:t>
      </w:r>
    </w:p>
    <w:p/>
    <w:p>
      <w:pPr>
        <w:pStyle w:val="Heading1"/>
      </w:pPr>
      <w:r>
        <w:t>1. ¿Qué es integrar datos?</w:t>
      </w:r>
    </w:p>
    <w:p>
      <w:r>
        <w:t>Integrar datos consiste en combinar información proveniente de diferentes fuentes para construir una vista unificada, coherente y útil. No se trata solo de pegar tablas, sino de comprender qué representa cada fuente, cuál es su nivel de detalle, qué llave permite unirlas y qué reglas se deben aplicar para evitar errores.</w:t>
      </w:r>
    </w:p>
    <w:p>
      <w:pPr>
        <w:pStyle w:val="Heading1"/>
      </w:pPr>
      <w:r>
        <w:t>2. Conceptos esenciales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88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Explicación</w:t>
            </w:r>
          </w:p>
        </w:tc>
        <w:tc>
          <w:tcPr>
            <w:tcW w:type="dxa" w:w="288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Ejemplo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Fuente de datos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Lugar o archivo donde se encuentra la información.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CSV de clientes, Excel de compras, JSON web, tabla SQL.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Llave de unión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Campo común que permite relacionar registros entre fuentes.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ID_Cliente.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Granularidad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Nivel de detalle de una tabla.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Clientes: una fila por cliente. Compras: varias filas por cliente.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Dato maestro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Entidad principal relativamente estable.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Cliente.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Dato transaccional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Registro de eventos o movimientos.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Compra realizada.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Dataset integrado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Tabla final que consolida variables de varias fuentes.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Una fila por cliente con compras, satisfacción e interacción web.</w:t>
            </w:r>
          </w:p>
        </w:tc>
      </w:tr>
    </w:tbl>
    <w:p>
      <w:pPr>
        <w:pStyle w:val="Heading1"/>
      </w:pPr>
      <w:r>
        <w:t>3. Tipos de fuentes usadas en esta guía</w:t>
      </w:r>
    </w:p>
    <w:p>
      <w:pPr>
        <w:pStyle w:val="Heading2"/>
      </w:pPr>
      <w:r>
        <w:t>3.1 CSV</w:t>
      </w:r>
    </w:p>
    <w:p>
      <w:r>
        <w:t>Un CSV es un archivo de texto estructurado por filas y columnas. Es común para exportar datos desde sistemas operativos, formularios o plataformas comerciales.</w:t>
      </w:r>
    </w:p>
    <w:p>
      <w:pPr>
        <w:pStyle w:val="Heading2"/>
      </w:pPr>
      <w:r>
        <w:t>3.2 Excel</w:t>
      </w:r>
    </w:p>
    <w:p>
      <w:r>
        <w:t>Excel se usa frecuentemente para registrar datos operativos. En integración, se debe revisar la hoja correcta, encabezados, formatos de fecha y valores numéricos.</w:t>
      </w:r>
    </w:p>
    <w:p>
      <w:pPr>
        <w:pStyle w:val="Heading2"/>
      </w:pPr>
      <w:r>
        <w:t>3.3 JSON</w:t>
      </w:r>
    </w:p>
    <w:p>
      <w:r>
        <w:t>JSON organiza datos como pares clave-valor. Es común en APIs y aplicaciones web. En Pandas puede leerse como registros para convertirlo en DataFrame.</w:t>
      </w:r>
    </w:p>
    <w:p>
      <w:pPr>
        <w:pStyle w:val="Heading2"/>
      </w:pPr>
      <w:r>
        <w:t>3.4 SQL relacional</w:t>
      </w:r>
    </w:p>
    <w:p>
      <w:r>
        <w:t>Una base relacional organiza la información en tablas conectadas por llaves. En esta guía se usa SQLite para practicar consultas sin instalar un servidor.</w:t>
      </w:r>
    </w:p>
    <w:p>
      <w:pPr>
        <w:pStyle w:val="Heading1"/>
      </w:pPr>
      <w:r>
        <w:t>4. Ruta técnica de integración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Paso</w:t>
            </w:r>
          </w:p>
        </w:tc>
        <w:tc>
          <w:tcPr>
            <w:tcW w:type="dxa" w:w="288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Acción</w:t>
            </w:r>
          </w:p>
        </w:tc>
        <w:tc>
          <w:tcPr>
            <w:tcW w:type="dxa" w:w="288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Por qué importa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Cargar cada fuente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Permite revisar estructura y disponibilidad de datos.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Diagnosticar calidad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Evita integrar errores sin conocerlos.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Normalizar nombres y formatos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Reduce errores de unión y lectura.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Revisar llaves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Confirma que las fuentes se pueden relacionar.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Agrupar transacciones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Evita duplicar clientes al unir compras.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Unir fuentes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Construye la vista consolidada.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Validar resultado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Comprueba consistencia y trazabilidad.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Exportar e informar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Permite usar el dataset y documentar decisiones.</w:t>
            </w:r>
          </w:p>
        </w:tc>
      </w:tr>
    </w:tbl>
    <w:p>
      <w:pPr>
        <w:pStyle w:val="Heading1"/>
      </w:pPr>
      <w:r>
        <w:t>5. ¿Por qué no se une todo directamente?</w:t>
      </w:r>
    </w:p>
    <w:p>
      <w:r>
        <w:t>Porque las fuentes pueden tener distinta granularidad. Si la tabla de clientes tiene una fila por cliente y la tabla de compras tiene varias filas por cliente, unirlas directamente puede multiplicar filas. Por eso primero se agregan compras por cliente, calculando variables como total de compras, total vendido y última compra.</w:t>
      </w:r>
    </w:p>
    <w:p>
      <w:pPr>
        <w:pStyle w:val="Heading1"/>
      </w:pPr>
      <w:r>
        <w:t>6. Joins relacionales básicos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Tipo de unión</w:t>
            </w:r>
          </w:p>
        </w:tc>
        <w:tc>
          <w:tcPr>
            <w:tcW w:type="dxa" w:w="288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Uso</w:t>
            </w:r>
          </w:p>
        </w:tc>
        <w:tc>
          <w:tcPr>
            <w:tcW w:type="dxa" w:w="2880"/>
            <w:shd w:fill="0F766E"/>
          </w:tcPr>
          <w:p>
            <w:r>
              <w:rPr>
                <w:sz w:val="18"/>
              </w:rPr>
            </w:r>
            <w:r>
              <w:rPr>
                <w:b/>
                <w:color w:val="FFFFFF"/>
                <w:sz w:val="18"/>
              </w:rPr>
              <w:t>Ejemplo en la guía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LEFT JOIN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Conservar todos los clientes aunque no tengan datos en otra fuente.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Clientes + compras agregadas.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INNER JOIN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Conservar solo registros con coincidencia en ambas fuentes.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Validar clientes con compras.</w:t>
            </w:r>
          </w:p>
        </w:tc>
      </w:tr>
      <w:tr>
        <w:tc>
          <w:tcPr>
            <w:tcW w:type="dxa" w:w="2880"/>
            <w:vAlign w:val="top"/>
          </w:tcPr>
          <w:p>
            <w:r>
              <w:rPr>
                <w:sz w:val="18"/>
              </w:rPr>
              <w:t>ANTI JOIN conceptual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Detectar registros que no tienen correspondencia.</w:t>
            </w:r>
          </w:p>
        </w:tc>
        <w:tc>
          <w:tcPr>
            <w:tcW w:type="dxa" w:w="2880"/>
            <w:vAlign w:val="top"/>
          </w:tcPr>
          <w:p>
            <w:r>
              <w:rPr>
                <w:sz w:val="18"/>
              </w:rPr>
              <w:t>Compras con ID_Cliente inexistente.</w:t>
            </w:r>
          </w:p>
        </w:tc>
      </w:tr>
    </w:tbl>
    <w:p>
      <w:pPr>
        <w:pStyle w:val="Heading1"/>
      </w:pPr>
      <w:r>
        <w:t>7. Errores frecuentes en integración</w:t>
      </w:r>
    </w:p>
    <w:p>
      <w:pPr>
        <w:pStyle w:val="ListBullet"/>
      </w:pPr>
      <w:r>
        <w:t>Usar una llave incorrecta o con espacios.</w:t>
      </w:r>
    </w:p>
    <w:p>
      <w:pPr>
        <w:pStyle w:val="ListBullet"/>
      </w:pPr>
      <w:r>
        <w:t>No revisar registros duplicados.</w:t>
      </w:r>
    </w:p>
    <w:p>
      <w:pPr>
        <w:pStyle w:val="ListBullet"/>
      </w:pPr>
      <w:r>
        <w:t>Unir datos transaccionales sin agregarlos.</w:t>
      </w:r>
    </w:p>
    <w:p>
      <w:pPr>
        <w:pStyle w:val="ListBullet"/>
      </w:pPr>
      <w:r>
        <w:t>No convertir fechas antes de calcular recencia.</w:t>
      </w:r>
    </w:p>
    <w:p>
      <w:pPr>
        <w:pStyle w:val="ListBullet"/>
      </w:pPr>
      <w:r>
        <w:t>No validar registros sin correspondencia.</w:t>
      </w:r>
    </w:p>
    <w:p>
      <w:pPr>
        <w:pStyle w:val="ListBullet"/>
      </w:pPr>
      <w:r>
        <w:t>Exportar el dataset final sin revisar filas, columnas y nulos.</w:t>
      </w:r>
    </w:p>
    <w:p>
      <w:pPr>
        <w:pStyle w:val="Heading1"/>
      </w:pPr>
      <w:r>
        <w:t>8. Buenas prácticas</w:t>
      </w:r>
    </w:p>
    <w:p>
      <w:pPr>
        <w:pStyle w:val="ListBullet"/>
      </w:pPr>
      <w:r>
        <w:t>Conservar copia de las fuentes originales.</w:t>
      </w:r>
    </w:p>
    <w:p>
      <w:pPr>
        <w:pStyle w:val="ListBullet"/>
      </w:pPr>
      <w:r>
        <w:t>Documentar cada transformación.</w:t>
      </w:r>
    </w:p>
    <w:p>
      <w:pPr>
        <w:pStyle w:val="ListBullet"/>
      </w:pPr>
      <w:r>
        <w:t>Usar nombres de columnas claros.</w:t>
      </w:r>
    </w:p>
    <w:p>
      <w:pPr>
        <w:pStyle w:val="ListBullet"/>
      </w:pPr>
      <w:r>
        <w:t>Validar el número de filas antes y después de cada unión.</w:t>
      </w:r>
    </w:p>
    <w:p>
      <w:pPr>
        <w:pStyle w:val="ListBullet"/>
      </w:pPr>
      <w:r>
        <w:t>Separar el diagnóstico de la transformación.</w:t>
      </w:r>
    </w:p>
    <w:p>
      <w:pPr>
        <w:pStyle w:val="ListBullet"/>
      </w:pPr>
      <w:r>
        <w:t>Generar un reporte de calidad final.</w:t>
      </w:r>
    </w:p>
    <w:p>
      <w:pPr>
        <w:pStyle w:val="Heading1"/>
      </w:pPr>
      <w:r>
        <w:t>9. Uso de IA en la documentación</w:t>
      </w:r>
    </w:p>
    <w:p>
      <w:r>
        <w:t>La IA puede ayudar a explicar hallazgos y mejorar redacción, pero no debe reemplazar la validación técnica. El aprendiz debe comprobar que los datos fueron cargados, unidos, agregados y exportados correctamente.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F7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15E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