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34"/>
          <w:sz w:val="40"/>
        </w:rPr>
        <w:t>Lista de chequeo - Guía 7</w:t>
      </w:r>
    </w:p>
    <w:p>
      <w:pPr>
        <w:jc w:val="center"/>
      </w:pPr>
      <w:r>
        <w:rPr>
          <w:color w:val="505050"/>
          <w:sz w:val="24"/>
        </w:rPr>
        <w:t>Versión APRENDIZ</w:t>
      </w:r>
    </w:p>
    <w:p/>
    <w:p>
      <w:pPr>
        <w:pStyle w:val="Heading1"/>
      </w:pPr>
      <w:r>
        <w:t>Lista de chequeo - Guía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005C34"/>
          </w:tcPr>
          <w:p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3456"/>
            <w:shd w:fill="005C34"/>
          </w:tcPr>
          <w:p>
            <w:r>
              <w:rPr>
                <w:b/>
                <w:color w:val="FFFFFF"/>
                <w:sz w:val="16"/>
              </w:rPr>
              <w:t>Cumple</w:t>
            </w:r>
          </w:p>
        </w:tc>
        <w:tc>
          <w:tcPr>
            <w:tcW w:type="dxa" w:w="3456"/>
            <w:shd w:fill="005C34"/>
          </w:tcPr>
          <w:p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Cargó todas las fuentes de datos.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Cambió tipos de datos correctamente.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Filtró ventas completadas.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Creó columnas VentaBruta, ValorDescuento y VentaNeta.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Construyó modelo con tablas de hechos y dimensiones.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Creó relaciones correctas.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Creó tabla calendario.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Creó medidas DAX básicas.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Validó totales y duplicados.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456"/>
          </w:tcPr>
          <w:p>
            <w:r>
              <w:rPr>
                <w:sz w:val="16"/>
              </w:rPr>
              <w:t>Entregó informe ETL y evidencias.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  <w:tc>
          <w:tcPr>
            <w:tcW w:type="dxa" w:w="3456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C34"/>
        <w:sz w:val="16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