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C34"/>
          <w:sz w:val="40"/>
        </w:rPr>
        <w:t>Rúbrica de evaluación - Guía 7</w:t>
      </w:r>
    </w:p>
    <w:p>
      <w:pPr>
        <w:jc w:val="center"/>
      </w:pPr>
      <w:r>
        <w:rPr>
          <w:color w:val="505050"/>
          <w:sz w:val="24"/>
        </w:rPr>
        <w:t>Versión APRENDIZ</w:t>
      </w:r>
    </w:p>
    <w:p/>
    <w:p>
      <w:pPr>
        <w:pStyle w:val="Heading1"/>
      </w:pPr>
      <w:r>
        <w:t>Rúbrica de evaluación - Guía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shd w:fill="005C34"/>
          </w:tcPr>
          <w:p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2074"/>
            <w:shd w:fill="005C34"/>
          </w:tcPr>
          <w:p>
            <w:r>
              <w:rPr>
                <w:b/>
                <w:color w:val="FFFFFF"/>
                <w:sz w:val="16"/>
              </w:rPr>
              <w:t>Inicial</w:t>
            </w:r>
          </w:p>
        </w:tc>
        <w:tc>
          <w:tcPr>
            <w:tcW w:type="dxa" w:w="2074"/>
            <w:shd w:fill="005C34"/>
          </w:tcPr>
          <w:p>
            <w:r>
              <w:rPr>
                <w:b/>
                <w:color w:val="FFFFFF"/>
                <w:sz w:val="16"/>
              </w:rPr>
              <w:t>En proceso</w:t>
            </w:r>
          </w:p>
        </w:tc>
        <w:tc>
          <w:tcPr>
            <w:tcW w:type="dxa" w:w="2074"/>
            <w:shd w:fill="005C34"/>
          </w:tcPr>
          <w:p>
            <w:r>
              <w:rPr>
                <w:b/>
                <w:color w:val="FFFFFF"/>
                <w:sz w:val="16"/>
              </w:rPr>
              <w:t>Satisfactorio</w:t>
            </w:r>
          </w:p>
        </w:tc>
        <w:tc>
          <w:tcPr>
            <w:tcW w:type="dxa" w:w="2074"/>
            <w:shd w:fill="005C34"/>
          </w:tcPr>
          <w:p>
            <w:r>
              <w:rPr>
                <w:b/>
                <w:color w:val="FFFFFF"/>
                <w:sz w:val="16"/>
              </w:rPr>
              <w:t>Avanzado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Carga de fuentes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Carga incompleta o con errores.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Carga algunas fuentes pero omite validaciones.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Carga todas las fuentes correctamente.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Carga y documenta fuentes con trazabilidad clara.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Transformación Power Query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No aplica transformaciones necesarias.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Aplica transformaciones parciales.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Aplica tipos, filtros y columnas calculadas correctamente.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Optimiza y explica cada transformación con criterio técnico.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Modelo de datos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Relaciones incorrectas o ausentes.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Modelo funcional pero con problemas de cardinalidad.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Modelo estrella básico con relaciones correctas.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Modelo claro, validado y listo para análisis avanzado.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Medidas DAX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No crea medidas o presentan errores.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Crea medidas básicas con algunos errores.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Crea medidas funcionales y coherentes.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Crea medidas claras, documentadas y validadas.</w:t>
            </w:r>
          </w:p>
        </w:tc>
      </w:tr>
      <w:tr>
        <w:tc>
          <w:tcPr>
            <w:tcW w:type="dxa" w:w="2074"/>
          </w:tcPr>
          <w:p>
            <w:r>
              <w:rPr>
                <w:sz w:val="16"/>
              </w:rPr>
              <w:t>Informe ETL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No documenta el proceso.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Documenta parcialmente.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Documenta fuentes, transformaciones, modelo y validación.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Presenta informe técnico completo con evidencias y conclusiones.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Material didactico - Guia 7 - ETL y modelado de datos en Power BI | Pagina </w:t>
    </w:r>
    <w:r>
      <w:rPr>
        <w:color w:val="646464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5C34"/>
        <w:sz w:val="16"/>
      </w:rPr>
      <w:t>SENA - Procesamiento de datos para IA | G7V1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5C3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5C3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5C3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