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Smart Contract Projects</w:t>
      </w:r>
    </w:p>
    <w:p>
      <w:pPr>
        <w:jc w:val="center"/>
      </w:pPr>
      <w:r>
        <w:rPr>
          <w:i/>
          <w:sz w:val="24"/>
        </w:rPr>
        <w:t>Architecture &amp; Analysis Guide — Solidity &amp; Blockchain Architecture</w:t>
      </w:r>
    </w:p>
    <w:p>
      <w:r>
        <w:t>Purpose: A structured academic guide for architectural analysis and security auditing of sixteen smart-contract project blueprints. The material emphasizes why particular state-management, access-control, payment, and EVM patterns are used rather than providing a step-by-step implementation tutorial.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Primary Focus</w:t>
            </w:r>
          </w:p>
        </w:tc>
      </w:tr>
      <w:tr>
        <w:tc>
          <w:tcPr>
            <w:tcW w:type="dxa" w:w="3312"/>
            <w:vAlign w:val="center"/>
          </w:tcPr>
          <w:p>
            <w:r>
              <w:t>I</w:t>
            </w:r>
          </w:p>
        </w:tc>
        <w:tc>
          <w:tcPr>
            <w:tcW w:type="dxa" w:w="3312"/>
            <w:vAlign w:val="center"/>
          </w:tcPr>
          <w:p>
            <w:r>
              <w:t>1–4</w:t>
            </w:r>
          </w:p>
        </w:tc>
        <w:tc>
          <w:tcPr>
            <w:tcW w:type="dxa" w:w="3312"/>
            <w:vAlign w:val="center"/>
          </w:tcPr>
          <w:p>
            <w:r>
              <w:t>Core mechanics, state management, state machines, events and time</w:t>
            </w:r>
          </w:p>
        </w:tc>
      </w:tr>
      <w:tr>
        <w:tc>
          <w:tcPr>
            <w:tcW w:type="dxa" w:w="3312"/>
            <w:vAlign w:val="center"/>
          </w:tcPr>
          <w:p>
            <w:r>
              <w:t>II</w:t>
            </w:r>
          </w:p>
        </w:tc>
        <w:tc>
          <w:tcPr>
            <w:tcW w:type="dxa" w:w="3312"/>
            <w:vAlign w:val="center"/>
          </w:tcPr>
          <w:p>
            <w:r>
              <w:t>5–8</w:t>
            </w:r>
          </w:p>
        </w:tc>
        <w:tc>
          <w:tcPr>
            <w:tcW w:type="dxa" w:w="3312"/>
            <w:vAlign w:val="center"/>
          </w:tcPr>
          <w:p>
            <w:r>
              <w:t>ERC standards, tokens, NFTs, external contracts and financial logic</w:t>
            </w:r>
          </w:p>
        </w:tc>
      </w:tr>
      <w:tr>
        <w:tc>
          <w:tcPr>
            <w:tcW w:type="dxa" w:w="3312"/>
            <w:vAlign w:val="center"/>
          </w:tcPr>
          <w:p>
            <w:r>
              <w:t>III</w:t>
            </w:r>
          </w:p>
        </w:tc>
        <w:tc>
          <w:tcPr>
            <w:tcW w:type="dxa" w:w="3312"/>
            <w:vAlign w:val="center"/>
          </w:tcPr>
          <w:p>
            <w:r>
              <w:t>9–12</w:t>
            </w:r>
          </w:p>
        </w:tc>
        <w:tc>
          <w:tcPr>
            <w:tcW w:type="dxa" w:w="3312"/>
            <w:vAlign w:val="center"/>
          </w:tcPr>
          <w:p>
            <w:r>
              <w:t>Security, access control, reentrancy, auditability</w:t>
            </w:r>
          </w:p>
        </w:tc>
      </w:tr>
      <w:tr>
        <w:tc>
          <w:tcPr>
            <w:tcW w:type="dxa" w:w="3312"/>
            <w:vAlign w:val="center"/>
          </w:tcPr>
          <w:p>
            <w:r>
              <w:t>IV</w:t>
            </w:r>
          </w:p>
        </w:tc>
        <w:tc>
          <w:tcPr>
            <w:tcW w:type="dxa" w:w="3312"/>
            <w:vAlign w:val="center"/>
          </w:tcPr>
          <w:p>
            <w:r>
              <w:t>13–16</w:t>
            </w:r>
          </w:p>
        </w:tc>
        <w:tc>
          <w:tcPr>
            <w:tcW w:type="dxa" w:w="3312"/>
            <w:vAlign w:val="center"/>
          </w:tcPr>
          <w:p>
            <w:r>
              <w:t>Governance, pull payments, auctions and proxy architecture</w:t>
            </w:r>
          </w:p>
        </w:tc>
      </w:tr>
    </w:tbl>
    <w:p>
      <w:pPr>
        <w:pStyle w:val="Heading1"/>
      </w:pPr>
      <w:r>
        <w:t>How to Use This Guide</w:t>
      </w:r>
    </w:p>
    <w:p>
      <w:pPr>
        <w:pStyle w:val="ListNumber"/>
      </w:pPr>
      <w:r>
        <w:t>Study the blueprints to understand the underlying logic, data structures and security patterns.</w:t>
      </w:r>
    </w:p>
    <w:p>
      <w:pPr>
        <w:pStyle w:val="ListNumber"/>
      </w:pPr>
      <w:r>
        <w:t>Analyze why mappings, arrays, state machines, events, pull payments, CEI and role systems are selected.</w:t>
      </w:r>
    </w:p>
    <w:p>
      <w:pPr>
        <w:pStyle w:val="ListNumber"/>
      </w:pPr>
      <w:r>
        <w:t>Use the ten-page analytical framework at the end to structure a project report.</w:t>
      </w:r>
    </w:p>
    <w:p>
      <w:pPr>
        <w:pStyle w:val="ListNumber"/>
      </w:pPr>
      <w:r>
        <w:t>Treat simplified examples as educational models: production contracts require testing, audits, formal review and careful handling of protocol-specific assumptions.</w:t>
      </w:r>
    </w:p>
    <w:p>
      <w:r>
        <w:br w:type="page"/>
      </w:r>
    </w:p>
    <w:p>
      <w:pPr>
        <w:pStyle w:val="Heading1"/>
      </w:pPr>
      <w:r>
        <w:t>Phase 1 — Core Mechanics &amp; State Management</w:t>
      </w:r>
    </w:p>
    <w:p>
      <w:pPr>
        <w:pStyle w:val="Heading2"/>
      </w:pPr>
      <w:r>
        <w:t>Project 1: Personal Savings Vault</w:t>
      </w:r>
    </w:p>
    <w:p>
      <w:r>
        <w:t>A contract where ETH is deposited and locked until a specified future date, with withdrawal restricted to a designated owner.</w:t>
      </w:r>
    </w:p>
    <w:p>
      <w:pPr>
        <w:pStyle w:val="ListBullet"/>
      </w:pPr>
      <w:r>
        <w:t>State: owner address; unlockTime derived from block.timestamp plus a duration.</w:t>
      </w:r>
    </w:p>
    <w:p>
      <w:pPr>
        <w:pStyle w:val="ListBullet"/>
      </w:pPr>
      <w:r>
        <w:t>deposit() is payable and accepts ETH.</w:t>
      </w:r>
    </w:p>
    <w:p>
      <w:pPr>
        <w:pStyle w:val="ListBullet"/>
      </w:pPr>
      <w:r>
        <w:t>withdraw() checks ownership and whether the unlock time has arrived, then transfers the balance.</w:t>
      </w:r>
    </w:p>
    <w:p>
      <w:pPr>
        <w:pStyle w:val="ListBullet"/>
      </w:pPr>
      <w:r>
        <w:t>Security: strict access control plus time-lock validation.</w:t>
      </w:r>
    </w:p>
    <w:p>
      <w:pPr>
        <w:pStyle w:val="ListBullet"/>
      </w:pPr>
      <w:r>
        <w:t>Applications: time-locked savings, trust funds and employee vesting.</w:t>
      </w:r>
    </w:p>
    <w:p>
      <w:pPr>
        <w:pStyle w:val="Heading2"/>
      </w:pPr>
      <w:r>
        <w:t>Project 2: Simple Voting Poll</w:t>
      </w:r>
    </w:p>
    <w:p>
      <w:r>
        <w:t>A two-option poll in which an owner registers eligible voters and each voter can vote once.</w:t>
      </w:r>
    </w:p>
    <w:p>
      <w:pPr>
        <w:pStyle w:val="ListBullet"/>
      </w:pPr>
      <w:r>
        <w:t>Mappings track allowedVoters and hasVoted; counters track the two vote totals.</w:t>
      </w:r>
    </w:p>
    <w:p>
      <w:pPr>
        <w:pStyle w:val="ListBullet"/>
      </w:pPr>
      <w:r>
        <w:t>registerVoter() is owner-restricted.</w:t>
      </w:r>
    </w:p>
    <w:p>
      <w:pPr>
        <w:pStyle w:val="ListBullet"/>
      </w:pPr>
      <w:r>
        <w:t>vote() verifies eligibility and non-voting status, increments a tally, then marks the voter as having voted.</w:t>
      </w:r>
    </w:p>
    <w:p>
      <w:pPr>
        <w:pStyle w:val="ListBullet"/>
      </w:pPr>
      <w:r>
        <w:t>Security: O(1) mapping lookups and explicit double-vote prevention.</w:t>
      </w:r>
    </w:p>
    <w:p>
      <w:pPr>
        <w:pStyle w:val="ListBullet"/>
      </w:pPr>
      <w:r>
        <w:t>Applications: board voting, DAO proposals and community decisions.</w:t>
      </w:r>
    </w:p>
    <w:p>
      <w:pPr>
        <w:pStyle w:val="Heading2"/>
      </w:pPr>
      <w:r>
        <w:t>Project 3: Basic Escrow (Buyer ↔ Seller)</w:t>
      </w:r>
    </w:p>
    <w:p>
      <w:r>
        <w:t>An escrow contract holds funds until delivery is confirmed or an arbitrator resolves a dispute.</w:t>
      </w:r>
    </w:p>
    <w:p>
      <w:pPr>
        <w:pStyle w:val="ListBullet"/>
      </w:pPr>
      <w:r>
        <w:t>Roles: buyer, seller and arbiter.</w:t>
      </w:r>
    </w:p>
    <w:p>
      <w:pPr>
        <w:pStyle w:val="ListBullet"/>
      </w:pPr>
      <w:r>
        <w:t>enum Status models Pending, Shipped, Delivered, Disputed and Resolved.</w:t>
      </w:r>
    </w:p>
    <w:p>
      <w:pPr>
        <w:pStyle w:val="ListBullet"/>
      </w:pPr>
      <w:r>
        <w:t>Functions enforce valid state transitions before changing state or moving funds.</w:t>
      </w:r>
    </w:p>
    <w:p>
      <w:pPr>
        <w:pStyle w:val="ListBullet"/>
      </w:pPr>
      <w:r>
        <w:t>Security: role-based permissions and state-machine validation.</w:t>
      </w:r>
    </w:p>
    <w:p>
      <w:pPr>
        <w:pStyle w:val="ListBullet"/>
      </w:pPr>
      <w:r>
        <w:t>Applications: freelance marketplaces, online commerce and real-estate deposits.</w:t>
      </w:r>
    </w:p>
    <w:p>
      <w:pPr>
        <w:pStyle w:val="Heading2"/>
      </w:pPr>
      <w:r>
        <w:t>Project 4: Transparent Tip Jar / Donation Tracker</w:t>
      </w:r>
    </w:p>
    <w:p>
      <w:r>
        <w:t>A donation contract that records deposits and publicly logs withdrawals with reasons.</w:t>
      </w:r>
    </w:p>
    <w:p>
      <w:pPr>
        <w:pStyle w:val="ListBullet"/>
      </w:pPr>
      <w:r>
        <w:t>Withdrawal struct contains amount, reason and timestamp; history is stored in an array.</w:t>
      </w:r>
    </w:p>
    <w:p>
      <w:pPr>
        <w:pStyle w:val="ListBullet"/>
      </w:pPr>
      <w:r>
        <w:t>donate() accepts funds and emits a Donation event.</w:t>
      </w:r>
    </w:p>
    <w:p>
      <w:pPr>
        <w:pStyle w:val="ListBullet"/>
      </w:pPr>
      <w:r>
        <w:t>withdraw() records the withdrawal and emits WithdrawalMade.</w:t>
      </w:r>
    </w:p>
    <w:p>
      <w:pPr>
        <w:pStyle w:val="ListBullet"/>
      </w:pPr>
      <w:r>
        <w:t>Security: event-driven transparency and off-chain indexing.</w:t>
      </w:r>
    </w:p>
    <w:p>
      <w:pPr>
        <w:pStyle w:val="ListBullet"/>
      </w:pPr>
      <w:r>
        <w:t>Applications: public goods funding, transparent NGO budgets and creator support.</w:t>
      </w:r>
    </w:p>
    <w:p>
      <w:r>
        <w:br w:type="page"/>
      </w:r>
    </w:p>
    <w:p>
      <w:pPr>
        <w:pStyle w:val="Heading1"/>
      </w:pPr>
      <w:r>
        <w:t>Phase 2 — Tokens &amp; Financial Logic</w:t>
      </w:r>
    </w:p>
    <w:p>
      <w:pPr>
        <w:pStyle w:val="Heading2"/>
      </w:pPr>
      <w:r>
        <w:t>Project 5: My First ERC-20 Token</w:t>
      </w:r>
    </w:p>
    <w:p>
      <w:r>
        <w:t>A fixed-supply token using OpenZeppelin's ERC20 implementation.</w:t>
      </w:r>
    </w:p>
    <w:p>
      <w:pPr>
        <w:pStyle w:val="ListBullet"/>
      </w:pPr>
      <w:r>
        <w:t>The contract inherits ERC20, which manages balances and allowances.</w:t>
      </w:r>
    </w:p>
    <w:p>
      <w:pPr>
        <w:pStyle w:val="ListBullet"/>
      </w:pPr>
      <w:r>
        <w:t>The constructor calls _mint() for the initial supply.</w:t>
      </w:r>
    </w:p>
    <w:p>
      <w:pPr>
        <w:pStyle w:val="ListBullet"/>
      </w:pPr>
      <w:r>
        <w:t>Standard transfer, approve and transferFrom functions provide token movement and allowance functionality.</w:t>
      </w:r>
    </w:p>
    <w:p>
      <w:pPr>
        <w:pStyle w:val="ListBullet"/>
      </w:pPr>
      <w:r>
        <w:t>Security: delegation to widely reviewed standard-library code.</w:t>
      </w:r>
    </w:p>
    <w:p>
      <w:pPr>
        <w:pStyle w:val="ListBullet"/>
      </w:pPr>
      <w:r>
        <w:t>Applications: loyalty points, stablecoins and governance tokens.</w:t>
      </w:r>
    </w:p>
    <w:p>
      <w:pPr>
        <w:pStyle w:val="Heading2"/>
      </w:pPr>
      <w:r>
        <w:t>Project 6: Token Vesting Wallet</w:t>
      </w:r>
    </w:p>
    <w:p>
      <w:r>
        <w:t>An ERC-20 vesting wallet that releases tokens linearly over time.</w:t>
      </w:r>
    </w:p>
    <w:p>
      <w:pPr>
        <w:pStyle w:val="ListBullet"/>
      </w:pPr>
      <w:r>
        <w:t>State includes tokenAddress, beneficiary, startTime, duration and released.</w:t>
      </w:r>
    </w:p>
    <w:p>
      <w:pPr>
        <w:pStyle w:val="ListBullet"/>
      </w:pPr>
      <w:r>
        <w:t>release() computes vested amount as totalAllocation × timePassed ÷ duration.</w:t>
      </w:r>
    </w:p>
    <w:p>
      <w:pPr>
        <w:pStyle w:val="ListBullet"/>
      </w:pPr>
      <w:r>
        <w:t>Previously released tokens are subtracted so only the newly claimable amount is transferred.</w:t>
      </w:r>
    </w:p>
    <w:p>
      <w:pPr>
        <w:pStyle w:val="ListBullet"/>
      </w:pPr>
      <w:r>
        <w:t>Security: time-based accounting and interface-based external token interaction.</w:t>
      </w:r>
    </w:p>
    <w:p>
      <w:pPr>
        <w:pStyle w:val="ListBullet"/>
      </w:pPr>
      <w:r>
        <w:t>Applications: investor lock-ups, employee allocations and team vesting.</w:t>
      </w:r>
    </w:p>
    <w:p>
      <w:pPr>
        <w:pStyle w:val="Heading2"/>
      </w:pPr>
      <w:r>
        <w:t>Project 7: Simple Decentralized Exchange (DEX)</w:t>
      </w:r>
    </w:p>
    <w:p>
      <w:r>
        <w:t>A fixed-rate exchange that swaps Token A for Token B.</w:t>
      </w:r>
    </w:p>
    <w:p>
      <w:pPr>
        <w:pStyle w:val="ListBullet"/>
      </w:pPr>
      <w:r>
        <w:t>State includes token addresses, exchangeRate and liquidity reserves.</w:t>
      </w:r>
    </w:p>
    <w:p>
      <w:pPr>
        <w:pStyle w:val="ListBullet"/>
      </w:pPr>
      <w:r>
        <w:t>Users first approve the exchange to spend Token A.</w:t>
      </w:r>
    </w:p>
    <w:p>
      <w:pPr>
        <w:pStyle w:val="ListBullet"/>
      </w:pPr>
      <w:r>
        <w:t>swapAforB() calls transferFrom(), calculates output and transfers Token B.</w:t>
      </w:r>
    </w:p>
    <w:p>
      <w:pPr>
        <w:pStyle w:val="ListBullet"/>
      </w:pPr>
      <w:r>
        <w:t>Security: ERC-20 allowance boundary between the user and exchange.</w:t>
      </w:r>
    </w:p>
    <w:p>
      <w:pPr>
        <w:pStyle w:val="ListBullet"/>
      </w:pPr>
      <w:r>
        <w:t>Applications: simplified currency exchange, token conversion and stablecoin on-ramps.</w:t>
      </w:r>
    </w:p>
    <w:p>
      <w:pPr>
        <w:pStyle w:val="Heading2"/>
      </w:pPr>
      <w:r>
        <w:t>Project 8: NFT Collection (ERC-721)</w:t>
      </w:r>
    </w:p>
    <w:p>
      <w:r>
        <w:t>A collection contract that mints unique sequential NFT identifiers with metadata.</w:t>
      </w:r>
    </w:p>
    <w:p>
      <w:pPr>
        <w:pStyle w:val="ListBullet"/>
      </w:pPr>
      <w:r>
        <w:t>Inherits ERC721 and Ownable; tokenCounter tracks the next identifier.</w:t>
      </w:r>
    </w:p>
    <w:p>
      <w:pPr>
        <w:pStyle w:val="ListBullet"/>
      </w:pPr>
      <w:r>
        <w:t>mint() uses _safeMint() and increments the counter.</w:t>
      </w:r>
    </w:p>
    <w:p>
      <w:pPr>
        <w:pStyle w:val="ListBullet"/>
      </w:pPr>
      <w:r>
        <w:t>Security: _safeMint() checks contract recipients for ERC-721 receiver compatibility.</w:t>
      </w:r>
    </w:p>
    <w:p>
      <w:pPr>
        <w:pStyle w:val="ListBullet"/>
      </w:pPr>
      <w:r>
        <w:t>Applications: digital art, event tickets and academic certificates.</w:t>
      </w:r>
    </w:p>
    <w:p>
      <w:r>
        <w:br w:type="page"/>
      </w:r>
    </w:p>
    <w:p>
      <w:pPr>
        <w:pStyle w:val="Heading1"/>
      </w:pPr>
      <w:r>
        <w:t>Phase 3 — Security &amp; Access Control</w:t>
      </w:r>
    </w:p>
    <w:p>
      <w:pPr>
        <w:pStyle w:val="Heading2"/>
      </w:pPr>
      <w:r>
        <w:t>Project 9: Multi-Signature Wallet (2-of-3)</w:t>
      </w:r>
    </w:p>
    <w:p>
      <w:r>
        <w:t>An ETH wallet requiring two approvals from three owners before execution.</w:t>
      </w:r>
    </w:p>
    <w:p>
      <w:pPr>
        <w:pStyle w:val="ListBullet"/>
      </w:pPr>
      <w:r>
        <w:t>State includes owners, confirmationsRequired and a Transaction array.</w:t>
      </w:r>
    </w:p>
    <w:p>
      <w:pPr>
        <w:pStyle w:val="ListBullet"/>
      </w:pPr>
      <w:r>
        <w:t>submitTransaction() creates a pending transaction.</w:t>
      </w:r>
    </w:p>
    <w:p>
      <w:pPr>
        <w:pStyle w:val="ListBullet"/>
      </w:pPr>
      <w:r>
        <w:t>confirmTransaction() records approvals; executeTransaction() requires the threshold and then uses call.</w:t>
      </w:r>
    </w:p>
    <w:p>
      <w:pPr>
        <w:pStyle w:val="ListBullet"/>
      </w:pPr>
      <w:r>
        <w:t>Security: multi-party consensus and call-based ETH transfer.</w:t>
      </w:r>
    </w:p>
    <w:p>
      <w:pPr>
        <w:pStyle w:val="ListBullet"/>
      </w:pPr>
      <w:r>
        <w:t>Applications: DAO treasuries, corporate wallets and joint accounts.</w:t>
      </w:r>
    </w:p>
    <w:p>
      <w:pPr>
        <w:pStyle w:val="Heading2"/>
      </w:pPr>
      <w:r>
        <w:t>Project 10: Reentrancy-Proof Bank</w:t>
      </w:r>
    </w:p>
    <w:p>
      <w:r>
        <w:t>A deposit/withdrawal bank designed around the Checks-Effects-Interactions pattern.</w:t>
      </w:r>
    </w:p>
    <w:p>
      <w:pPr>
        <w:pStyle w:val="ListBullet"/>
      </w:pPr>
      <w:r>
        <w:t>balances mapping records user balances.</w:t>
      </w:r>
    </w:p>
    <w:p>
      <w:pPr>
        <w:pStyle w:val="ListBullet"/>
      </w:pPr>
      <w:r>
        <w:t>withdraw() checks the balance, updates it to zero, then performs the ETH call.</w:t>
      </w:r>
    </w:p>
    <w:p>
      <w:pPr>
        <w:pStyle w:val="ListBullet"/>
      </w:pPr>
      <w:r>
        <w:t>OpenZeppelin's nonReentrant can add a mutex-style defense.</w:t>
      </w:r>
    </w:p>
    <w:p>
      <w:pPr>
        <w:pStyle w:val="ListBullet"/>
      </w:pPr>
      <w:r>
        <w:t>Security: CEI plus optional reentrancy guard.</w:t>
      </w:r>
    </w:p>
    <w:p>
      <w:pPr>
        <w:pStyle w:val="ListBullet"/>
      </w:pPr>
      <w:r>
        <w:t>Applications: lending systems, vaults and contracts holding user funds.</w:t>
      </w:r>
    </w:p>
    <w:p>
      <w:pPr>
        <w:pStyle w:val="Heading2"/>
      </w:pPr>
      <w:r>
        <w:t>Project 11: Role-Based Access Control (RBAC)</w:t>
      </w:r>
    </w:p>
    <w:p>
      <w:r>
        <w:t>A permission system with Admin, Editor and Viewer-style roles.</w:t>
      </w:r>
    </w:p>
    <w:p>
      <w:pPr>
        <w:pStyle w:val="ListBullet"/>
      </w:pPr>
      <w:r>
        <w:t>Uses OpenZeppelin AccessControl.</w:t>
      </w:r>
    </w:p>
    <w:p>
      <w:pPr>
        <w:pStyle w:val="ListBullet"/>
      </w:pPr>
      <w:r>
        <w:t>Role identifiers are bytes32 constants derived with keccak256.</w:t>
      </w:r>
    </w:p>
    <w:p>
      <w:pPr>
        <w:pStyle w:val="ListBullet"/>
      </w:pPr>
      <w:r>
        <w:t>onlyRole() gates privileged functions; administrators grant or revoke roles.</w:t>
      </w:r>
    </w:p>
    <w:p>
      <w:pPr>
        <w:pStyle w:val="ListBullet"/>
      </w:pPr>
      <w:r>
        <w:t>Security: explicit permissions and role hierarchy.</w:t>
      </w:r>
    </w:p>
    <w:p>
      <w:pPr>
        <w:pStyle w:val="ListBullet"/>
      </w:pPr>
      <w:r>
        <w:t>Applications: enterprise systems, game administration and controlled data workflows.</w:t>
      </w:r>
    </w:p>
    <w:p>
      <w:pPr>
        <w:pStyle w:val="Heading2"/>
      </w:pPr>
      <w:r>
        <w:t>Project 12: Product Supply Chain</w:t>
      </w:r>
    </w:p>
    <w:p>
      <w:r>
        <w:t>Tracks a product lifecycle from creation through shipment and delivery.</w:t>
      </w:r>
    </w:p>
    <w:p>
      <w:pPr>
        <w:pStyle w:val="ListBullet"/>
      </w:pPr>
      <w:r>
        <w:t>enum Status models lifecycle stages; Product structs are stored in a mapping.</w:t>
      </w:r>
    </w:p>
    <w:p>
      <w:pPr>
        <w:pStyle w:val="ListBullet"/>
      </w:pPr>
      <w:r>
        <w:t>Authorized participants invoke shipping and receiving functions.</w:t>
      </w:r>
    </w:p>
    <w:p>
      <w:pPr>
        <w:pStyle w:val="ListBullet"/>
      </w:pPr>
      <w:r>
        <w:t>Events such as ProductShipped and ProductDelivered provide an indexable history.</w:t>
      </w:r>
    </w:p>
    <w:p>
      <w:pPr>
        <w:pStyle w:val="ListBullet"/>
      </w:pPr>
      <w:r>
        <w:t>Security: role-aware state transitions and immutable event records.</w:t>
      </w:r>
    </w:p>
    <w:p>
      <w:pPr>
        <w:pStyle w:val="ListBullet"/>
      </w:pPr>
      <w:r>
        <w:t>Applications: food safety, medicine tracking and luxury-goods authentication.</w:t>
      </w:r>
    </w:p>
    <w:p>
      <w:r>
        <w:br w:type="page"/>
      </w:r>
    </w:p>
    <w:p>
      <w:pPr>
        <w:pStyle w:val="Heading1"/>
      </w:pPr>
      <w:r>
        <w:t>Phase 4 — Advanced Systems</w:t>
      </w:r>
    </w:p>
    <w:p>
      <w:pPr>
        <w:pStyle w:val="Heading2"/>
      </w:pPr>
      <w:r>
        <w:t>Project 13: Simple DAO</w:t>
      </w:r>
    </w:p>
    <w:p>
      <w:r>
        <w:t>Members vote on proposals, with execution after a deadline and quorum requirement.</w:t>
      </w:r>
    </w:p>
    <w:p>
      <w:pPr>
        <w:pStyle w:val="ListBullet"/>
      </w:pPr>
      <w:r>
        <w:t>Proposal stores description, recipient, amount, yes/no counts, deadline and executed state.</w:t>
      </w:r>
    </w:p>
    <w:p>
      <w:pPr>
        <w:pStyle w:val="ListBullet"/>
      </w:pPr>
      <w:r>
        <w:t>vote() records support.</w:t>
      </w:r>
    </w:p>
    <w:p>
      <w:pPr>
        <w:pStyle w:val="ListBullet"/>
      </w:pPr>
      <w:r>
        <w:t>executeProposal() verifies the deadline, quorum and execution status before treasury payment.</w:t>
      </w:r>
    </w:p>
    <w:p>
      <w:pPr>
        <w:pStyle w:val="ListBullet"/>
      </w:pPr>
      <w:r>
        <w:t>Security: quorum and time boundaries reduce unilateral control.</w:t>
      </w:r>
    </w:p>
    <w:p>
      <w:pPr>
        <w:pStyle w:val="ListBullet"/>
      </w:pPr>
      <w:r>
        <w:t>Applications: community grants, investment clubs and protocol governance.</w:t>
      </w:r>
    </w:p>
    <w:p>
      <w:pPr>
        <w:pStyle w:val="Heading2"/>
      </w:pPr>
      <w:r>
        <w:t>Project 14: Crowdfunding Campaign</w:t>
      </w:r>
    </w:p>
    <w:p>
      <w:r>
        <w:t>A Kickstarter-style campaign where success enables creator withdrawal and failure enables contributor refunds.</w:t>
      </w:r>
    </w:p>
    <w:p>
      <w:pPr>
        <w:pStyle w:val="ListBullet"/>
      </w:pPr>
      <w:r>
        <w:t>State: creator, goal, deadline and contributors mapping.</w:t>
      </w:r>
    </w:p>
    <w:p>
      <w:pPr>
        <w:pStyle w:val="ListBullet"/>
      </w:pPr>
      <w:r>
        <w:t>The Pull-over-Push pattern lets each contributor claim a refund rather than looping through all contributors.</w:t>
      </w:r>
    </w:p>
    <w:p>
      <w:pPr>
        <w:pStyle w:val="ListBullet"/>
      </w:pPr>
      <w:r>
        <w:t>Security: avoids unbounded refund loops and reduces interaction-related failure risks.</w:t>
      </w:r>
    </w:p>
    <w:p>
      <w:pPr>
        <w:pStyle w:val="ListBullet"/>
      </w:pPr>
      <w:r>
        <w:t>Applications: indie games, research, community projects and relief funding.</w:t>
      </w:r>
    </w:p>
    <w:p>
      <w:pPr>
        <w:pStyle w:val="Heading2"/>
      </w:pPr>
      <w:r>
        <w:t>Project 15: Simple Auction (English Auction)</w:t>
      </w:r>
    </w:p>
    <w:p>
      <w:r>
        <w:t>An auction in which the highest bidder wins and previous bidders withdraw their refundable amounts.</w:t>
      </w:r>
    </w:p>
    <w:p>
      <w:pPr>
        <w:pStyle w:val="ListBullet"/>
      </w:pPr>
      <w:r>
        <w:t>State: highestBidder, highestBid, endTime and pendingReturns.</w:t>
      </w:r>
    </w:p>
    <w:p>
      <w:pPr>
        <w:pStyle w:val="ListBullet"/>
      </w:pPr>
      <w:r>
        <w:t>bid() records the previous high bid as a pending return.</w:t>
      </w:r>
    </w:p>
    <w:p>
      <w:pPr>
        <w:pStyle w:val="ListBullet"/>
      </w:pPr>
      <w:r>
        <w:t>withdraw() lets outbid participants pull their funds.</w:t>
      </w:r>
    </w:p>
    <w:p>
      <w:pPr>
        <w:pStyle w:val="ListBullet"/>
      </w:pPr>
      <w:r>
        <w:t>endAuction() pays the final bid to the seller.</w:t>
      </w:r>
    </w:p>
    <w:p>
      <w:pPr>
        <w:pStyle w:val="ListBullet"/>
      </w:pPr>
      <w:r>
        <w:t>Security: withdrawal pattern avoids forced payments to potentially hostile recipients.</w:t>
      </w:r>
    </w:p>
    <w:p>
      <w:pPr>
        <w:pStyle w:val="ListBullet"/>
      </w:pPr>
      <w:r>
        <w:t>Applications: art, domains and procurement-style bidding.</w:t>
      </w:r>
    </w:p>
    <w:p>
      <w:pPr>
        <w:pStyle w:val="Heading2"/>
      </w:pPr>
      <w:r>
        <w:t>Project 16: Upgradeable Smart Contract (Proxy Pattern)</w:t>
      </w:r>
    </w:p>
    <w:p>
      <w:r>
        <w:t>Separates contract storage from logic so logic can be upgraded while preserving the proxy address and state.</w:t>
      </w:r>
    </w:p>
    <w:p>
      <w:pPr>
        <w:pStyle w:val="ListBullet"/>
      </w:pPr>
      <w:r>
        <w:t>Proxy stores the implementation address.</w:t>
      </w:r>
    </w:p>
    <w:p>
      <w:pPr>
        <w:pStyle w:val="ListBullet"/>
      </w:pPr>
      <w:r>
        <w:t>The proxy delegates execution to logic using delegatecall.</w:t>
      </w:r>
    </w:p>
    <w:p>
      <w:pPr>
        <w:pStyle w:val="ListBullet"/>
      </w:pPr>
      <w:r>
        <w:t>delegatecall executes logic against the proxy's storage and preserves caller/value context.</w:t>
      </w:r>
    </w:p>
    <w:p>
      <w:pPr>
        <w:pStyle w:val="ListBullet"/>
      </w:pPr>
      <w:r>
        <w:t>Security: storage-layout compatibility is essential to prevent storage collisions.</w:t>
      </w:r>
    </w:p>
    <w:p>
      <w:pPr>
        <w:pStyle w:val="ListBullet"/>
      </w:pPr>
      <w:r>
        <w:t>Applications: upgradeable DeFi and long-lived protocol systems.</w:t>
      </w:r>
    </w:p>
    <w:p>
      <w:r>
        <w:br w:type="page"/>
      </w:r>
    </w:p>
    <w:p>
      <w:pPr>
        <w:pStyle w:val="Heading1"/>
      </w:pPr>
      <w:r>
        <w:t>The 10-Page Analytical Report Template</w:t>
      </w:r>
    </w:p>
    <w:p>
      <w:r>
        <w:t>Use the following page-by-page framework for a detailed analysis of one selected project or a cumulative final report. Include diagrams, pseudocode and architectural comparisons where useful.</w:t>
      </w:r>
    </w:p>
    <w:p>
      <w:pPr>
        <w:pStyle w:val="Heading2"/>
      </w:pPr>
      <w:r>
        <w:t>Page 1: Executive Summary &amp; Conceptual Overview</w:t>
      </w:r>
    </w:p>
    <w:p>
      <w:pPr>
        <w:pStyle w:val="ListBullet"/>
      </w:pPr>
      <w:r>
        <w:t>Project Selection — identify the project(s) and scope.</w:t>
      </w:r>
    </w:p>
    <w:p>
      <w:pPr>
        <w:pStyle w:val="ListBullet"/>
      </w:pPr>
      <w:r>
        <w:t>The Problem — define the real-world problem the architecture addresses.</w:t>
      </w:r>
    </w:p>
    <w:p>
      <w:pPr>
        <w:pStyle w:val="ListBullet"/>
      </w:pPr>
      <w:r>
        <w:t>The Solution — explain what blockchain/smart contracts contribute compared with a conventional database.</w:t>
      </w:r>
    </w:p>
    <w:p>
      <w:pPr>
        <w:pStyle w:val="ListBullet"/>
      </w:pPr>
      <w:r>
        <w:t>High-Level Flow — summarize the complete user journey from initiation through final state.</w:t>
      </w:r>
    </w:p>
    <w:p>
      <w:pPr>
        <w:pStyle w:val="Heading2"/>
      </w:pPr>
      <w:r>
        <w:t>Page 2: System Architecture &amp; State Flow Diagrams</w:t>
      </w:r>
    </w:p>
    <w:p>
      <w:pPr>
        <w:pStyle w:val="ListBullet"/>
      </w:pPr>
      <w:r>
        <w:t>Visual Architecture — show users, the smart contract, external contracts, wallets and blockchain state.</w:t>
      </w:r>
    </w:p>
    <w:p>
      <w:pPr>
        <w:pStyle w:val="ListBullet"/>
      </w:pPr>
      <w:r>
        <w:t>State Machine — where applicable, map every enum state and the exact conditions for each transition.</w:t>
      </w:r>
    </w:p>
    <w:p>
      <w:pPr>
        <w:pStyle w:val="ListBullet"/>
      </w:pPr>
      <w:r>
        <w:t>Interaction Boundaries — identify where control leaves the contract, especially token transfers and arbitrary external calls.</w:t>
      </w:r>
    </w:p>
    <w:p>
      <w:pPr>
        <w:pStyle w:val="Heading2"/>
      </w:pPr>
      <w:r>
        <w:t>Page 3: Data Structures &amp; Storage Layout</w:t>
      </w:r>
    </w:p>
    <w:p>
      <w:pPr>
        <w:pStyle w:val="ListBullet"/>
      </w:pPr>
      <w:r>
        <w:t>Variables — list every state variable and explain why mappings, arrays, structs or primitive values are appropriate.</w:t>
      </w:r>
    </w:p>
    <w:p>
      <w:pPr>
        <w:pStyle w:val="ListBullet"/>
      </w:pPr>
      <w:r>
        <w:t>Structs &amp; Enums — explain how related data and lifecycle states are grouped.</w:t>
      </w:r>
    </w:p>
    <w:p>
      <w:pPr>
        <w:pStyle w:val="ListBullet"/>
      </w:pPr>
      <w:r>
        <w:t>Storage vs Memory vs Calldata — distinguish persistent state from temporary execution data and discuss gas implications.</w:t>
      </w:r>
    </w:p>
    <w:p>
      <w:pPr>
        <w:pStyle w:val="ListBullet"/>
      </w:pPr>
      <w:r>
        <w:t>Layout — for proxy systems, document storage slots and variable ordering explicitly.</w:t>
      </w:r>
    </w:p>
    <w:p>
      <w:pPr>
        <w:pStyle w:val="Heading2"/>
      </w:pPr>
      <w:r>
        <w:t>Page 4: Core Logic &amp; Function Breakdown</w:t>
      </w:r>
    </w:p>
    <w:p>
      <w:pPr>
        <w:pStyle w:val="ListBullet"/>
      </w:pPr>
      <w:r>
        <w:t>Select three or four critical functions and analyze them line by line.</w:t>
      </w:r>
    </w:p>
    <w:p>
      <w:pPr>
        <w:pStyle w:val="ListBullet"/>
      </w:pPr>
      <w:r>
        <w:t>Explain modifiers such as onlyOwner, onlyRole and nonReentrant.</w:t>
      </w:r>
    </w:p>
    <w:p>
      <w:pPr>
        <w:pStyle w:val="ListBullet"/>
      </w:pPr>
      <w:r>
        <w:t>Trace external calls, interfaces, token allowances and returned values.</w:t>
      </w:r>
    </w:p>
    <w:p>
      <w:pPr>
        <w:pStyle w:val="ListBullet"/>
      </w:pPr>
      <w:r>
        <w:t>Identify the checks, state writes and interactions in their exact execution order.</w:t>
      </w:r>
    </w:p>
    <w:p>
      <w:pPr>
        <w:pStyle w:val="Heading2"/>
      </w:pPr>
      <w:r>
        <w:t>Page 5: Access Control &amp; Trust Models</w:t>
      </w:r>
    </w:p>
    <w:p>
      <w:pPr>
        <w:pStyle w:val="ListBullet"/>
      </w:pPr>
      <w:r>
        <w:t>Permissions — map who can call which functions.</w:t>
      </w:r>
    </w:p>
    <w:p>
      <w:pPr>
        <w:pStyle w:val="ListBullet"/>
      </w:pPr>
      <w:r>
        <w:t>Trust Assumptions — identify trusted owners, arbiters, administrators, token contracts and data sources.</w:t>
      </w:r>
    </w:p>
    <w:p>
      <w:pPr>
        <w:pStyle w:val="ListBullet"/>
      </w:pPr>
      <w:r>
        <w:t>Decentralization — explain how privileged actions could be distributed or governed by multiple parties.</w:t>
      </w:r>
    </w:p>
    <w:p>
      <w:pPr>
        <w:pStyle w:val="ListBullet"/>
      </w:pPr>
      <w:r>
        <w:t>Failure of Trust — describe the consequences if a privileged key or role is compromised.</w:t>
      </w:r>
    </w:p>
    <w:p>
      <w:pPr>
        <w:pStyle w:val="Heading2"/>
      </w:pPr>
      <w:r>
        <w:t>Page 6: Security Threat Modeling &amp; Vulnerability Analysis</w:t>
      </w:r>
    </w:p>
    <w:p>
      <w:pPr>
        <w:pStyle w:val="ListBullet"/>
      </w:pPr>
      <w:r>
        <w:t>Attack Vectors — consider reentrancy, front-running, timestamp dependence, denial of service, authorization errors and arithmetic problems.</w:t>
      </w:r>
    </w:p>
    <w:p>
      <w:pPr>
        <w:pStyle w:val="ListBullet"/>
      </w:pPr>
      <w:r>
        <w:t>Mitigations — connect each threat to a specific architectural defense such as CEI, pull payments, access control or audited libraries.</w:t>
      </w:r>
    </w:p>
    <w:p>
      <w:pPr>
        <w:pStyle w:val="ListBullet"/>
      </w:pPr>
      <w:r>
        <w:t>Audit Checklist — create at least ten architecture-specific checks.</w:t>
      </w:r>
    </w:p>
    <w:p>
      <w:pPr>
        <w:pStyle w:val="ListBullet"/>
      </w:pPr>
      <w:r>
        <w:t>Assumptions — clearly distinguish prevented vulnerabilities from risks that remain outside the contract.</w:t>
      </w:r>
    </w:p>
    <w:p>
      <w:pPr>
        <w:pStyle w:val="Heading2"/>
      </w:pPr>
      <w:r>
        <w:t>Page 7: Gas Optimization &amp; EVM Mechanics</w:t>
      </w:r>
    </w:p>
    <w:p>
      <w:pPr>
        <w:pStyle w:val="ListBullet"/>
      </w:pPr>
      <w:r>
        <w:t>Gas Hogs — identify expensive storage writes, loops, external calls and large dynamic data operations.</w:t>
      </w:r>
    </w:p>
    <w:p>
      <w:pPr>
        <w:pStyle w:val="ListBullet"/>
      </w:pPr>
      <w:r>
        <w:t>Optimization — evaluate storage packing, calldata, cached reads and reduced writes without sacrificing safety.</w:t>
      </w:r>
    </w:p>
    <w:p>
      <w:pPr>
        <w:pStyle w:val="ListBullet"/>
      </w:pPr>
      <w:r>
        <w:t>EVM Context — explain how transactions execute, especially delegatecall, msg.sender, storage and contract-to-contract calls.</w:t>
      </w:r>
    </w:p>
    <w:p>
      <w:pPr>
        <w:pStyle w:val="ListBullet"/>
      </w:pPr>
      <w:r>
        <w:t>Trade-offs — document where a gas optimization could reduce readability, flexibility or safety.</w:t>
      </w:r>
    </w:p>
    <w:p>
      <w:pPr>
        <w:pStyle w:val="Heading2"/>
      </w:pPr>
      <w:r>
        <w:t>Page 8: Edge Cases, Failure Modes &amp; Recovery</w:t>
      </w:r>
    </w:p>
    <w:p>
      <w:pPr>
        <w:pStyle w:val="ListBullet"/>
      </w:pPr>
      <w:r>
        <w:t>What if? — analyze at least three realistic edge cases.</w:t>
      </w:r>
    </w:p>
    <w:p>
      <w:pPr>
        <w:pStyle w:val="ListBullet"/>
      </w:pPr>
      <w:r>
        <w:t>Failure Recovery — identify pause, emergency withdrawal, dispute, retry or upgrade mechanisms if present.</w:t>
      </w:r>
    </w:p>
    <w:p>
      <w:pPr>
        <w:pStyle w:val="ListBullet"/>
      </w:pPr>
      <w:r>
        <w:t>Stuck Funds — explain whether and how assets could become inaccessible.</w:t>
      </w:r>
    </w:p>
    <w:p>
      <w:pPr>
        <w:pStyle w:val="ListBullet"/>
      </w:pPr>
      <w:r>
        <w:t>Irreversibility — identify actions that cannot be undone and their consequences.</w:t>
      </w:r>
    </w:p>
    <w:p>
      <w:pPr>
        <w:pStyle w:val="Heading2"/>
      </w:pPr>
      <w:r>
        <w:t>Page 9: Real-World Case Studies &amp; Industry Comparison</w:t>
      </w:r>
    </w:p>
    <w:p>
      <w:pPr>
        <w:pStyle w:val="ListBullet"/>
      </w:pPr>
      <w:r>
        <w:t>Industry Standard — select a real protocol or company with comparable architecture.</w:t>
      </w:r>
    </w:p>
    <w:p>
      <w:pPr>
        <w:pStyle w:val="ListBullet"/>
      </w:pPr>
      <w:r>
        <w:t>Comparison — explain how the production system differs from the simplified blueprint.</w:t>
      </w:r>
    </w:p>
    <w:p>
      <w:pPr>
        <w:pStyle w:val="ListBullet"/>
      </w:pPr>
      <w:r>
        <w:t>Extra Features — identify production-grade controls such as oracle integrations, governance, emergency mechanisms, accounting and monitoring.</w:t>
      </w:r>
    </w:p>
    <w:p>
      <w:pPr>
        <w:pStyle w:val="ListBullet"/>
      </w:pPr>
      <w:r>
        <w:t>Pros &amp; Cons — compare simplicity, transparency, gas cost, flexibility, trust assumptions and attack surface.</w:t>
      </w:r>
    </w:p>
    <w:p>
      <w:pPr>
        <w:pStyle w:val="Heading2"/>
      </w:pPr>
      <w:r>
        <w:t>Page 10: Alternative Architectures &amp; Conclusion</w:t>
      </w:r>
    </w:p>
    <w:p>
      <w:pPr>
        <w:pStyle w:val="ListBullet"/>
      </w:pPr>
      <w:r>
        <w:t>Alternative Designs — propose a different architecture and compare its security and operational trade-offs.</w:t>
      </w:r>
    </w:p>
    <w:p>
      <w:pPr>
        <w:pStyle w:val="ListBullet"/>
      </w:pPr>
      <w:r>
        <w:t>Future Upgrades — define a realistic V2 roadmap.</w:t>
      </w:r>
    </w:p>
    <w:p>
      <w:pPr>
        <w:pStyle w:val="ListBullet"/>
      </w:pPr>
      <w:r>
        <w:t>Key Learnings — summarize the most important architecture, EVM and security lessons.</w:t>
      </w:r>
    </w:p>
    <w:p>
      <w:pPr>
        <w:pStyle w:val="ListBullet"/>
      </w:pPr>
      <w:r>
        <w:t>Final Assessment — state whether the blueprint is suitable as-is for production and what must change before deployment.</w:t>
      </w:r>
    </w:p>
    <w:p>
      <w:r>
        <w:br w:type="page"/>
      </w:r>
    </w:p>
    <w:p>
      <w:pPr>
        <w:pStyle w:val="Heading1"/>
      </w:pPr>
      <w:r>
        <w:t>Cross-Project Architecture Comparison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Primary Pattern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Main Security Concern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Key Architectural Lesson</w:t>
            </w:r>
          </w:p>
        </w:tc>
      </w:tr>
      <w:tr>
        <w:tc>
          <w:tcPr>
            <w:tcW w:type="dxa" w:w="2484"/>
            <w:vAlign w:val="center"/>
          </w:tcPr>
          <w:p>
            <w:r>
              <w:t>1</w:t>
            </w:r>
          </w:p>
        </w:tc>
        <w:tc>
          <w:tcPr>
            <w:tcW w:type="dxa" w:w="2484"/>
            <w:vAlign w:val="center"/>
          </w:tcPr>
          <w:p>
            <w:r>
              <w:t>Time lock + ownership</w:t>
            </w:r>
          </w:p>
        </w:tc>
        <w:tc>
          <w:tcPr>
            <w:tcW w:type="dxa" w:w="2484"/>
            <w:vAlign w:val="center"/>
          </w:tcPr>
          <w:p>
            <w:r>
              <w:t>Unauthorized/early withdrawal</w:t>
            </w:r>
          </w:p>
        </w:tc>
        <w:tc>
          <w:tcPr>
            <w:tcW w:type="dxa" w:w="2484"/>
            <w:vAlign w:val="center"/>
          </w:tcPr>
          <w:p>
            <w:r>
              <w:t>Time is part of contract state</w:t>
            </w:r>
          </w:p>
        </w:tc>
      </w:tr>
      <w:tr>
        <w:tc>
          <w:tcPr>
            <w:tcW w:type="dxa" w:w="2484"/>
            <w:vAlign w:val="center"/>
          </w:tcPr>
          <w:p>
            <w:r>
              <w:t>2</w:t>
            </w:r>
          </w:p>
        </w:tc>
        <w:tc>
          <w:tcPr>
            <w:tcW w:type="dxa" w:w="2484"/>
            <w:vAlign w:val="center"/>
          </w:tcPr>
          <w:p>
            <w:r>
              <w:t>Mappings + one-time state</w:t>
            </w:r>
          </w:p>
        </w:tc>
        <w:tc>
          <w:tcPr>
            <w:tcW w:type="dxa" w:w="2484"/>
            <w:vAlign w:val="center"/>
          </w:tcPr>
          <w:p>
            <w:r>
              <w:t>Double voting / authorization</w:t>
            </w:r>
          </w:p>
        </w:tc>
        <w:tc>
          <w:tcPr>
            <w:tcW w:type="dxa" w:w="2484"/>
            <w:vAlign w:val="center"/>
          </w:tcPr>
          <w:p>
            <w:r>
              <w:t>Explicit state flags prevent repeated actions</w:t>
            </w:r>
          </w:p>
        </w:tc>
      </w:tr>
      <w:tr>
        <w:tc>
          <w:tcPr>
            <w:tcW w:type="dxa" w:w="2484"/>
            <w:vAlign w:val="center"/>
          </w:tcPr>
          <w:p>
            <w:r>
              <w:t>3</w:t>
            </w:r>
          </w:p>
        </w:tc>
        <w:tc>
          <w:tcPr>
            <w:tcW w:type="dxa" w:w="2484"/>
            <w:vAlign w:val="center"/>
          </w:tcPr>
          <w:p>
            <w:r>
              <w:t>State machine</w:t>
            </w:r>
          </w:p>
        </w:tc>
        <w:tc>
          <w:tcPr>
            <w:tcW w:type="dxa" w:w="2484"/>
            <w:vAlign w:val="center"/>
          </w:tcPr>
          <w:p>
            <w:r>
              <w:t>Invalid transitions / arbiter trust</w:t>
            </w:r>
          </w:p>
        </w:tc>
        <w:tc>
          <w:tcPr>
            <w:tcW w:type="dxa" w:w="2484"/>
            <w:vAlign w:val="center"/>
          </w:tcPr>
          <w:p>
            <w:r>
              <w:t>Lifecycle state should gate every sensitive action</w:t>
            </w:r>
          </w:p>
        </w:tc>
      </w:tr>
      <w:tr>
        <w:tc>
          <w:tcPr>
            <w:tcW w:type="dxa" w:w="2484"/>
            <w:vAlign w:val="center"/>
          </w:tcPr>
          <w:p>
            <w:r>
              <w:t>4</w:t>
            </w:r>
          </w:p>
        </w:tc>
        <w:tc>
          <w:tcPr>
            <w:tcW w:type="dxa" w:w="2484"/>
            <w:vAlign w:val="center"/>
          </w:tcPr>
          <w:p>
            <w:r>
              <w:t>Events + withdrawal history</w:t>
            </w:r>
          </w:p>
        </w:tc>
        <w:tc>
          <w:tcPr>
            <w:tcW w:type="dxa" w:w="2484"/>
            <w:vAlign w:val="center"/>
          </w:tcPr>
          <w:p>
            <w:r>
              <w:t>Transparency / accounting</w:t>
            </w:r>
          </w:p>
        </w:tc>
        <w:tc>
          <w:tcPr>
            <w:tcW w:type="dxa" w:w="2484"/>
            <w:vAlign w:val="center"/>
          </w:tcPr>
          <w:p>
            <w:r>
              <w:t>Events are powerful for off-chain audit trails</w:t>
            </w:r>
          </w:p>
        </w:tc>
      </w:tr>
      <w:tr>
        <w:tc>
          <w:tcPr>
            <w:tcW w:type="dxa" w:w="2484"/>
            <w:vAlign w:val="center"/>
          </w:tcPr>
          <w:p>
            <w:r>
              <w:t>5</w:t>
            </w:r>
          </w:p>
        </w:tc>
        <w:tc>
          <w:tcPr>
            <w:tcW w:type="dxa" w:w="2484"/>
            <w:vAlign w:val="center"/>
          </w:tcPr>
          <w:p>
            <w:r>
              <w:t>ERC-20 inheritance</w:t>
            </w:r>
          </w:p>
        </w:tc>
        <w:tc>
          <w:tcPr>
            <w:tcW w:type="dxa" w:w="2484"/>
            <w:vAlign w:val="center"/>
          </w:tcPr>
          <w:p>
            <w:r>
              <w:t>Token-standard correctness</w:t>
            </w:r>
          </w:p>
        </w:tc>
        <w:tc>
          <w:tcPr>
            <w:tcW w:type="dxa" w:w="2484"/>
            <w:vAlign w:val="center"/>
          </w:tcPr>
          <w:p>
            <w:r>
              <w:t>Reuse established standards instead of rebuilding accounting</w:t>
            </w:r>
          </w:p>
        </w:tc>
      </w:tr>
      <w:tr>
        <w:tc>
          <w:tcPr>
            <w:tcW w:type="dxa" w:w="2484"/>
            <w:vAlign w:val="center"/>
          </w:tcPr>
          <w:p>
            <w:r>
              <w:t>6</w:t>
            </w:r>
          </w:p>
        </w:tc>
        <w:tc>
          <w:tcPr>
            <w:tcW w:type="dxa" w:w="2484"/>
            <w:vAlign w:val="center"/>
          </w:tcPr>
          <w:p>
            <w:r>
              <w:t>Linear vesting</w:t>
            </w:r>
          </w:p>
        </w:tc>
        <w:tc>
          <w:tcPr>
            <w:tcW w:type="dxa" w:w="2484"/>
            <w:vAlign w:val="center"/>
          </w:tcPr>
          <w:p>
            <w:r>
              <w:t>Math / token interaction</w:t>
            </w:r>
          </w:p>
        </w:tc>
        <w:tc>
          <w:tcPr>
            <w:tcW w:type="dxa" w:w="2484"/>
            <w:vAlign w:val="center"/>
          </w:tcPr>
          <w:p>
            <w:r>
              <w:t>Time-based accounting must handle boundaries precisely</w:t>
            </w:r>
          </w:p>
        </w:tc>
      </w:tr>
      <w:tr>
        <w:tc>
          <w:tcPr>
            <w:tcW w:type="dxa" w:w="2484"/>
            <w:vAlign w:val="center"/>
          </w:tcPr>
          <w:p>
            <w:r>
              <w:t>7</w:t>
            </w:r>
          </w:p>
        </w:tc>
        <w:tc>
          <w:tcPr>
            <w:tcW w:type="dxa" w:w="2484"/>
            <w:vAlign w:val="center"/>
          </w:tcPr>
          <w:p>
            <w:r>
              <w:t>Allowance + swap</w:t>
            </w:r>
          </w:p>
        </w:tc>
        <w:tc>
          <w:tcPr>
            <w:tcW w:type="dxa" w:w="2484"/>
            <w:vAlign w:val="center"/>
          </w:tcPr>
          <w:p>
            <w:r>
              <w:t>Reserve/rate correctness</w:t>
            </w:r>
          </w:p>
        </w:tc>
        <w:tc>
          <w:tcPr>
            <w:tcW w:type="dxa" w:w="2484"/>
            <w:vAlign w:val="center"/>
          </w:tcPr>
          <w:p>
            <w:r>
              <w:t>External token calls form a critical trust boundary</w:t>
            </w:r>
          </w:p>
        </w:tc>
      </w:tr>
      <w:tr>
        <w:tc>
          <w:tcPr>
            <w:tcW w:type="dxa" w:w="2484"/>
            <w:vAlign w:val="center"/>
          </w:tcPr>
          <w:p>
            <w:r>
              <w:t>8</w:t>
            </w:r>
          </w:p>
        </w:tc>
        <w:tc>
          <w:tcPr>
            <w:tcW w:type="dxa" w:w="2484"/>
            <w:vAlign w:val="center"/>
          </w:tcPr>
          <w:p>
            <w:r>
              <w:t>ERC-721 safe mint</w:t>
            </w:r>
          </w:p>
        </w:tc>
        <w:tc>
          <w:tcPr>
            <w:tcW w:type="dxa" w:w="2484"/>
            <w:vAlign w:val="center"/>
          </w:tcPr>
          <w:p>
            <w:r>
              <w:t>Receiver compatibility</w:t>
            </w:r>
          </w:p>
        </w:tc>
        <w:tc>
          <w:tcPr>
            <w:tcW w:type="dxa" w:w="2484"/>
            <w:vAlign w:val="center"/>
          </w:tcPr>
          <w:p>
            <w:r>
              <w:t>Standards encode interoperability assumptions</w:t>
            </w:r>
          </w:p>
        </w:tc>
      </w:tr>
      <w:tr>
        <w:tc>
          <w:tcPr>
            <w:tcW w:type="dxa" w:w="2484"/>
            <w:vAlign w:val="center"/>
          </w:tcPr>
          <w:p>
            <w:r>
              <w:t>9</w:t>
            </w:r>
          </w:p>
        </w:tc>
        <w:tc>
          <w:tcPr>
            <w:tcW w:type="dxa" w:w="2484"/>
            <w:vAlign w:val="center"/>
          </w:tcPr>
          <w:p>
            <w:r>
              <w:t>Multi-signature</w:t>
            </w:r>
          </w:p>
        </w:tc>
        <w:tc>
          <w:tcPr>
            <w:tcW w:type="dxa" w:w="2484"/>
            <w:vAlign w:val="center"/>
          </w:tcPr>
          <w:p>
            <w:r>
              <w:t>Approval replay / authorization</w:t>
            </w:r>
          </w:p>
        </w:tc>
        <w:tc>
          <w:tcPr>
            <w:tcW w:type="dxa" w:w="2484"/>
            <w:vAlign w:val="center"/>
          </w:tcPr>
          <w:p>
            <w:r>
              <w:t>Separate proposal, approval and execution state</w:t>
            </w:r>
          </w:p>
        </w:tc>
      </w:tr>
      <w:tr>
        <w:tc>
          <w:tcPr>
            <w:tcW w:type="dxa" w:w="2484"/>
            <w:vAlign w:val="center"/>
          </w:tcPr>
          <w:p>
            <w:r>
              <w:t>10</w:t>
            </w:r>
          </w:p>
        </w:tc>
        <w:tc>
          <w:tcPr>
            <w:tcW w:type="dxa" w:w="2484"/>
            <w:vAlign w:val="center"/>
          </w:tcPr>
          <w:p>
            <w:r>
              <w:t>CEI + guard</w:t>
            </w:r>
          </w:p>
        </w:tc>
        <w:tc>
          <w:tcPr>
            <w:tcW w:type="dxa" w:w="2484"/>
            <w:vAlign w:val="center"/>
          </w:tcPr>
          <w:p>
            <w:r>
              <w:t>Reentrancy</w:t>
            </w:r>
          </w:p>
        </w:tc>
        <w:tc>
          <w:tcPr>
            <w:tcW w:type="dxa" w:w="2484"/>
            <w:vAlign w:val="center"/>
          </w:tcPr>
          <w:p>
            <w:r>
              <w:t>Update internal state before external interaction</w:t>
            </w:r>
          </w:p>
        </w:tc>
      </w:tr>
      <w:tr>
        <w:tc>
          <w:tcPr>
            <w:tcW w:type="dxa" w:w="2484"/>
            <w:vAlign w:val="center"/>
          </w:tcPr>
          <w:p>
            <w:r>
              <w:t>11</w:t>
            </w:r>
          </w:p>
        </w:tc>
        <w:tc>
          <w:tcPr>
            <w:tcW w:type="dxa" w:w="2484"/>
            <w:vAlign w:val="center"/>
          </w:tcPr>
          <w:p>
            <w:r>
              <w:t>RBAC</w:t>
            </w:r>
          </w:p>
        </w:tc>
        <w:tc>
          <w:tcPr>
            <w:tcW w:type="dxa" w:w="2484"/>
            <w:vAlign w:val="center"/>
          </w:tcPr>
          <w:p>
            <w:r>
              <w:t>Privilege escalation</w:t>
            </w:r>
          </w:p>
        </w:tc>
        <w:tc>
          <w:tcPr>
            <w:tcW w:type="dxa" w:w="2484"/>
            <w:vAlign w:val="center"/>
          </w:tcPr>
          <w:p>
            <w:r>
              <w:t>Permissions should be explicit and auditable</w:t>
            </w:r>
          </w:p>
        </w:tc>
      </w:tr>
      <w:tr>
        <w:tc>
          <w:tcPr>
            <w:tcW w:type="dxa" w:w="2484"/>
            <w:vAlign w:val="center"/>
          </w:tcPr>
          <w:p>
            <w:r>
              <w:t>12</w:t>
            </w:r>
          </w:p>
        </w:tc>
        <w:tc>
          <w:tcPr>
            <w:tcW w:type="dxa" w:w="2484"/>
            <w:vAlign w:val="center"/>
          </w:tcPr>
          <w:p>
            <w:r>
              <w:t>Lifecycle + events</w:t>
            </w:r>
          </w:p>
        </w:tc>
        <w:tc>
          <w:tcPr>
            <w:tcW w:type="dxa" w:w="2484"/>
            <w:vAlign w:val="center"/>
          </w:tcPr>
          <w:p>
            <w:r>
              <w:t>Unauthorized transitions</w:t>
            </w:r>
          </w:p>
        </w:tc>
        <w:tc>
          <w:tcPr>
            <w:tcW w:type="dxa" w:w="2484"/>
            <w:vAlign w:val="center"/>
          </w:tcPr>
          <w:p>
            <w:r>
              <w:t>On-chain state plus events create traceable history</w:t>
            </w:r>
          </w:p>
        </w:tc>
      </w:tr>
      <w:tr>
        <w:tc>
          <w:tcPr>
            <w:tcW w:type="dxa" w:w="2484"/>
            <w:vAlign w:val="center"/>
          </w:tcPr>
          <w:p>
            <w:r>
              <w:t>13</w:t>
            </w:r>
          </w:p>
        </w:tc>
        <w:tc>
          <w:tcPr>
            <w:tcW w:type="dxa" w:w="2484"/>
            <w:vAlign w:val="center"/>
          </w:tcPr>
          <w:p>
            <w:r>
              <w:t>DAO + quorum</w:t>
            </w:r>
          </w:p>
        </w:tc>
        <w:tc>
          <w:tcPr>
            <w:tcW w:type="dxa" w:w="2484"/>
            <w:vAlign w:val="center"/>
          </w:tcPr>
          <w:p>
            <w:r>
              <w:t>Governance manipulation</w:t>
            </w:r>
          </w:p>
        </w:tc>
        <w:tc>
          <w:tcPr>
            <w:tcW w:type="dxa" w:w="2484"/>
            <w:vAlign w:val="center"/>
          </w:tcPr>
          <w:p>
            <w:r>
              <w:t>Voting rules define the protocol's trust model</w:t>
            </w:r>
          </w:p>
        </w:tc>
      </w:tr>
      <w:tr>
        <w:tc>
          <w:tcPr>
            <w:tcW w:type="dxa" w:w="2484"/>
            <w:vAlign w:val="center"/>
          </w:tcPr>
          <w:p>
            <w:r>
              <w:t>14</w:t>
            </w:r>
          </w:p>
        </w:tc>
        <w:tc>
          <w:tcPr>
            <w:tcW w:type="dxa" w:w="2484"/>
            <w:vAlign w:val="center"/>
          </w:tcPr>
          <w:p>
            <w:r>
              <w:t>Pull refunds</w:t>
            </w:r>
          </w:p>
        </w:tc>
        <w:tc>
          <w:tcPr>
            <w:tcW w:type="dxa" w:w="2484"/>
            <w:vAlign w:val="center"/>
          </w:tcPr>
          <w:p>
            <w:r>
              <w:t>Gas exhaustion / payout risk</w:t>
            </w:r>
          </w:p>
        </w:tc>
        <w:tc>
          <w:tcPr>
            <w:tcW w:type="dxa" w:w="2484"/>
            <w:vAlign w:val="center"/>
          </w:tcPr>
          <w:p>
            <w:r>
              <w:t>Let recipients withdraw rather than looping over them</w:t>
            </w:r>
          </w:p>
        </w:tc>
      </w:tr>
      <w:tr>
        <w:tc>
          <w:tcPr>
            <w:tcW w:type="dxa" w:w="2484"/>
            <w:vAlign w:val="center"/>
          </w:tcPr>
          <w:p>
            <w:r>
              <w:t>15</w:t>
            </w:r>
          </w:p>
        </w:tc>
        <w:tc>
          <w:tcPr>
            <w:tcW w:type="dxa" w:w="2484"/>
            <w:vAlign w:val="center"/>
          </w:tcPr>
          <w:p>
            <w:r>
              <w:t>Withdrawal pattern</w:t>
            </w:r>
          </w:p>
        </w:tc>
        <w:tc>
          <w:tcPr>
            <w:tcW w:type="dxa" w:w="2484"/>
            <w:vAlign w:val="center"/>
          </w:tcPr>
          <w:p>
            <w:r>
              <w:t>Forced-payment failure</w:t>
            </w:r>
          </w:p>
        </w:tc>
        <w:tc>
          <w:tcPr>
            <w:tcW w:type="dxa" w:w="2484"/>
            <w:vAlign w:val="center"/>
          </w:tcPr>
          <w:p>
            <w:r>
              <w:t>Pending balances isolate user withdrawals</w:t>
            </w:r>
          </w:p>
        </w:tc>
      </w:tr>
      <w:tr>
        <w:tc>
          <w:tcPr>
            <w:tcW w:type="dxa" w:w="2484"/>
            <w:vAlign w:val="center"/>
          </w:tcPr>
          <w:p>
            <w:r>
              <w:t>16</w:t>
            </w:r>
          </w:p>
        </w:tc>
        <w:tc>
          <w:tcPr>
            <w:tcW w:type="dxa" w:w="2484"/>
            <w:vAlign w:val="center"/>
          </w:tcPr>
          <w:p>
            <w:r>
              <w:t>Proxy + delegatecall</w:t>
            </w:r>
          </w:p>
        </w:tc>
        <w:tc>
          <w:tcPr>
            <w:tcW w:type="dxa" w:w="2484"/>
            <w:vAlign w:val="center"/>
          </w:tcPr>
          <w:p>
            <w:r>
              <w:t>Storage collision / bad upgrades</w:t>
            </w:r>
          </w:p>
        </w:tc>
        <w:tc>
          <w:tcPr>
            <w:tcW w:type="dxa" w:w="2484"/>
            <w:vAlign w:val="center"/>
          </w:tcPr>
          <w:p>
            <w:r>
              <w:t>Upgradeability requires disciplined storage and governance</w:t>
            </w:r>
          </w:p>
        </w:tc>
      </w:tr>
    </w:tbl>
    <w:p>
      <w:pPr>
        <w:pStyle w:val="Heading1"/>
      </w:pPr>
      <w:r>
        <w:t>Recommended 10-Point Audit Checklist</w:t>
      </w:r>
    </w:p>
    <w:p>
      <w:pPr>
        <w:pStyle w:val="ListNumber"/>
      </w:pPr>
      <w:r>
        <w:t>Are all privileged functions protected by the intended role or ownership check?</w:t>
      </w:r>
    </w:p>
    <w:p>
      <w:pPr>
        <w:pStyle w:val="ListNumber"/>
      </w:pPr>
      <w:r>
        <w:t>Can any function be called in an invalid lifecycle state?</w:t>
      </w:r>
    </w:p>
    <w:p>
      <w:pPr>
        <w:pStyle w:val="ListNumber"/>
      </w:pPr>
      <w:r>
        <w:t>Are state changes performed before external calls where CEI is required?</w:t>
      </w:r>
    </w:p>
    <w:p>
      <w:pPr>
        <w:pStyle w:val="ListNumber"/>
      </w:pPr>
      <w:r>
        <w:t>Can an attacker re-enter through ETH or token callbacks?</w:t>
      </w:r>
    </w:p>
    <w:p>
      <w:pPr>
        <w:pStyle w:val="ListNumber"/>
      </w:pPr>
      <w:r>
        <w:t>Are all external call return values and token-transfer assumptions handled correctly?</w:t>
      </w:r>
    </w:p>
    <w:p>
      <w:pPr>
        <w:pStyle w:val="ListNumber"/>
      </w:pPr>
      <w:r>
        <w:t>Can loops grow without a safe upper bound and cause denial of service?</w:t>
      </w:r>
    </w:p>
    <w:p>
      <w:pPr>
        <w:pStyle w:val="ListNumber"/>
      </w:pPr>
      <w:r>
        <w:t>Can users become permanently unable to withdraw or recover funds?</w:t>
      </w:r>
    </w:p>
    <w:p>
      <w:pPr>
        <w:pStyle w:val="ListNumber"/>
      </w:pPr>
      <w:r>
        <w:t>Are timestamps used only where their precision and miner/validator influence are acceptable?</w:t>
      </w:r>
    </w:p>
    <w:p>
      <w:pPr>
        <w:pStyle w:val="ListNumber"/>
      </w:pPr>
      <w:r>
        <w:t>Are arithmetic boundaries, zero values, duplicate actions and deadline edges tested?</w:t>
      </w:r>
    </w:p>
    <w:p>
      <w:pPr>
        <w:pStyle w:val="ListNumber"/>
      </w:pPr>
      <w:r>
        <w:t>For upgradeable contracts, is storage layout compatibility and upgrade authorization explicitly protected?</w:t>
      </w:r>
    </w:p>
    <w:p>
      <w:pPr>
        <w:pStyle w:val="Heading1"/>
      </w:pPr>
      <w:r>
        <w:t>Important Academic Note</w:t>
      </w:r>
    </w:p>
    <w:p>
      <w:r>
        <w:t>These blueprints are simplified educational architectures. A production deployment should additionally address compiler versioning, dependency pinning, comprehensive unit and property-based tests, invariant testing, access-key management, monitoring, upgrade governance, economic attacks, oracle assumptions where relevant, and independent security review.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Smart Contract Projects — Architecture &amp; Analysis Guide</w:t>
    </w:r>
    <w:r>
      <w:t xml:space="preserve"> •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