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id w:val="-913931601"/>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2DE63C1B" w14:textId="7A9C99C2" w:rsidR="00F238F7" w:rsidRDefault="00F238F7">
          <w:pPr>
            <w:pStyle w:val="TOCHeading"/>
          </w:pPr>
          <w:r>
            <w:t>Table of Contents</w:t>
          </w:r>
        </w:p>
        <w:p w14:paraId="5CA02AE3" w14:textId="154BD384" w:rsidR="00F238F7" w:rsidRDefault="00F238F7">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130441" w:history="1">
            <w:r w:rsidRPr="00793C51">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_Toc57130441 \h </w:instrText>
            </w:r>
            <w:r>
              <w:rPr>
                <w:noProof/>
                <w:webHidden/>
              </w:rPr>
            </w:r>
            <w:r>
              <w:rPr>
                <w:noProof/>
                <w:webHidden/>
              </w:rPr>
              <w:fldChar w:fldCharType="separate"/>
            </w:r>
            <w:r>
              <w:rPr>
                <w:noProof/>
                <w:webHidden/>
              </w:rPr>
              <w:t>3</w:t>
            </w:r>
            <w:r>
              <w:rPr>
                <w:noProof/>
                <w:webHidden/>
              </w:rPr>
              <w:fldChar w:fldCharType="end"/>
            </w:r>
          </w:hyperlink>
        </w:p>
        <w:p w14:paraId="079A27CD" w14:textId="64E12228" w:rsidR="00F238F7" w:rsidRDefault="00F238F7">
          <w:pPr>
            <w:pStyle w:val="TOC2"/>
            <w:tabs>
              <w:tab w:val="right" w:leader="dot" w:pos="9350"/>
            </w:tabs>
            <w:rPr>
              <w:rFonts w:eastAsiaTheme="minorEastAsia" w:cstheme="minorBidi"/>
              <w:b w:val="0"/>
              <w:bCs w:val="0"/>
              <w:noProof/>
              <w:sz w:val="24"/>
              <w:szCs w:val="24"/>
            </w:rPr>
          </w:pPr>
          <w:hyperlink w:anchor="_Toc57130442" w:history="1">
            <w:r w:rsidRPr="00793C51">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_Toc57130442 \h </w:instrText>
            </w:r>
            <w:r>
              <w:rPr>
                <w:noProof/>
                <w:webHidden/>
              </w:rPr>
            </w:r>
            <w:r>
              <w:rPr>
                <w:noProof/>
                <w:webHidden/>
              </w:rPr>
              <w:fldChar w:fldCharType="separate"/>
            </w:r>
            <w:r>
              <w:rPr>
                <w:noProof/>
                <w:webHidden/>
              </w:rPr>
              <w:t>3</w:t>
            </w:r>
            <w:r>
              <w:rPr>
                <w:noProof/>
                <w:webHidden/>
              </w:rPr>
              <w:fldChar w:fldCharType="end"/>
            </w:r>
          </w:hyperlink>
        </w:p>
        <w:p w14:paraId="3FF59513" w14:textId="7C85EA0A" w:rsidR="00F238F7" w:rsidRDefault="00F238F7">
          <w:pPr>
            <w:pStyle w:val="TOC2"/>
            <w:tabs>
              <w:tab w:val="right" w:leader="dot" w:pos="9350"/>
            </w:tabs>
            <w:rPr>
              <w:rFonts w:eastAsiaTheme="minorEastAsia" w:cstheme="minorBidi"/>
              <w:b w:val="0"/>
              <w:bCs w:val="0"/>
              <w:noProof/>
              <w:sz w:val="24"/>
              <w:szCs w:val="24"/>
            </w:rPr>
          </w:pPr>
          <w:hyperlink w:anchor="_Toc57130443" w:history="1">
            <w:r w:rsidRPr="00793C51">
              <w:rPr>
                <w:rStyle w:val="Hyperlink"/>
                <w:rFonts w:ascii="Times New Roman" w:hAnsi="Times New Roman" w:cs="Times New Roman"/>
                <w:noProof/>
              </w:rPr>
              <w:t>1.2 Significance</w:t>
            </w:r>
            <w:r>
              <w:rPr>
                <w:noProof/>
                <w:webHidden/>
              </w:rPr>
              <w:tab/>
            </w:r>
            <w:r>
              <w:rPr>
                <w:noProof/>
                <w:webHidden/>
              </w:rPr>
              <w:fldChar w:fldCharType="begin"/>
            </w:r>
            <w:r>
              <w:rPr>
                <w:noProof/>
                <w:webHidden/>
              </w:rPr>
              <w:instrText xml:space="preserve"> PAGEREF _Toc57130443 \h </w:instrText>
            </w:r>
            <w:r>
              <w:rPr>
                <w:noProof/>
                <w:webHidden/>
              </w:rPr>
            </w:r>
            <w:r>
              <w:rPr>
                <w:noProof/>
                <w:webHidden/>
              </w:rPr>
              <w:fldChar w:fldCharType="separate"/>
            </w:r>
            <w:r>
              <w:rPr>
                <w:noProof/>
                <w:webHidden/>
              </w:rPr>
              <w:t>3</w:t>
            </w:r>
            <w:r>
              <w:rPr>
                <w:noProof/>
                <w:webHidden/>
              </w:rPr>
              <w:fldChar w:fldCharType="end"/>
            </w:r>
          </w:hyperlink>
        </w:p>
        <w:p w14:paraId="4B64DD2F" w14:textId="6B69FC5A" w:rsidR="00F238F7" w:rsidRDefault="00F238F7">
          <w:pPr>
            <w:pStyle w:val="TOC1"/>
            <w:tabs>
              <w:tab w:val="right" w:leader="dot" w:pos="9350"/>
            </w:tabs>
            <w:rPr>
              <w:rFonts w:eastAsiaTheme="minorEastAsia" w:cstheme="minorBidi"/>
              <w:b w:val="0"/>
              <w:bCs w:val="0"/>
              <w:i w:val="0"/>
              <w:iCs w:val="0"/>
              <w:noProof/>
            </w:rPr>
          </w:pPr>
          <w:hyperlink w:anchor="_Toc57130444" w:history="1">
            <w:r w:rsidRPr="00793C51">
              <w:rPr>
                <w:rStyle w:val="Hyperlink"/>
                <w:rFonts w:ascii="Times New Roman" w:hAnsi="Times New Roman" w:cs="Times New Roman"/>
                <w:noProof/>
              </w:rPr>
              <w:t>2  Dataset</w:t>
            </w:r>
            <w:r>
              <w:rPr>
                <w:noProof/>
                <w:webHidden/>
              </w:rPr>
              <w:tab/>
            </w:r>
            <w:r>
              <w:rPr>
                <w:noProof/>
                <w:webHidden/>
              </w:rPr>
              <w:fldChar w:fldCharType="begin"/>
            </w:r>
            <w:r>
              <w:rPr>
                <w:noProof/>
                <w:webHidden/>
              </w:rPr>
              <w:instrText xml:space="preserve"> PAGEREF _Toc57130444 \h </w:instrText>
            </w:r>
            <w:r>
              <w:rPr>
                <w:noProof/>
                <w:webHidden/>
              </w:rPr>
            </w:r>
            <w:r>
              <w:rPr>
                <w:noProof/>
                <w:webHidden/>
              </w:rPr>
              <w:fldChar w:fldCharType="separate"/>
            </w:r>
            <w:r>
              <w:rPr>
                <w:noProof/>
                <w:webHidden/>
              </w:rPr>
              <w:t>4</w:t>
            </w:r>
            <w:r>
              <w:rPr>
                <w:noProof/>
                <w:webHidden/>
              </w:rPr>
              <w:fldChar w:fldCharType="end"/>
            </w:r>
          </w:hyperlink>
        </w:p>
        <w:p w14:paraId="77862166" w14:textId="2EA488E8" w:rsidR="00F238F7" w:rsidRDefault="00F238F7">
          <w:pPr>
            <w:pStyle w:val="TOC2"/>
            <w:tabs>
              <w:tab w:val="right" w:leader="dot" w:pos="9350"/>
            </w:tabs>
            <w:rPr>
              <w:rFonts w:eastAsiaTheme="minorEastAsia" w:cstheme="minorBidi"/>
              <w:b w:val="0"/>
              <w:bCs w:val="0"/>
              <w:noProof/>
              <w:sz w:val="24"/>
              <w:szCs w:val="24"/>
            </w:rPr>
          </w:pPr>
          <w:hyperlink w:anchor="_Toc57130445" w:history="1">
            <w:r w:rsidRPr="00793C51">
              <w:rPr>
                <w:rStyle w:val="Hyperlink"/>
                <w:rFonts w:ascii="Times New Roman" w:hAnsi="Times New Roman" w:cs="Times New Roman"/>
                <w:noProof/>
              </w:rPr>
              <w:t>2.1 Data Description</w:t>
            </w:r>
            <w:r>
              <w:rPr>
                <w:noProof/>
                <w:webHidden/>
              </w:rPr>
              <w:tab/>
            </w:r>
            <w:r>
              <w:rPr>
                <w:noProof/>
                <w:webHidden/>
              </w:rPr>
              <w:fldChar w:fldCharType="begin"/>
            </w:r>
            <w:r>
              <w:rPr>
                <w:noProof/>
                <w:webHidden/>
              </w:rPr>
              <w:instrText xml:space="preserve"> PAGEREF _Toc57130445 \h </w:instrText>
            </w:r>
            <w:r>
              <w:rPr>
                <w:noProof/>
                <w:webHidden/>
              </w:rPr>
            </w:r>
            <w:r>
              <w:rPr>
                <w:noProof/>
                <w:webHidden/>
              </w:rPr>
              <w:fldChar w:fldCharType="separate"/>
            </w:r>
            <w:r>
              <w:rPr>
                <w:noProof/>
                <w:webHidden/>
              </w:rPr>
              <w:t>4</w:t>
            </w:r>
            <w:r>
              <w:rPr>
                <w:noProof/>
                <w:webHidden/>
              </w:rPr>
              <w:fldChar w:fldCharType="end"/>
            </w:r>
          </w:hyperlink>
        </w:p>
        <w:p w14:paraId="6FBC3146" w14:textId="7EDC8D55" w:rsidR="00F238F7" w:rsidRDefault="00F238F7">
          <w:pPr>
            <w:pStyle w:val="TOC2"/>
            <w:tabs>
              <w:tab w:val="right" w:leader="dot" w:pos="9350"/>
            </w:tabs>
            <w:rPr>
              <w:rFonts w:eastAsiaTheme="minorEastAsia" w:cstheme="minorBidi"/>
              <w:b w:val="0"/>
              <w:bCs w:val="0"/>
              <w:noProof/>
              <w:sz w:val="24"/>
              <w:szCs w:val="24"/>
            </w:rPr>
          </w:pPr>
          <w:hyperlink w:anchor="_Toc57130446" w:history="1">
            <w:r w:rsidRPr="00793C51">
              <w:rPr>
                <w:rStyle w:val="Hyperlink"/>
                <w:rFonts w:ascii="Times New Roman" w:hAnsi="Times New Roman" w:cs="Times New Roman"/>
                <w:noProof/>
              </w:rPr>
              <w:t>2.2 Dataset Characteristic: Class Imbalance and Feature Space Overlap</w:t>
            </w:r>
            <w:r>
              <w:rPr>
                <w:noProof/>
                <w:webHidden/>
              </w:rPr>
              <w:tab/>
            </w:r>
            <w:r>
              <w:rPr>
                <w:noProof/>
                <w:webHidden/>
              </w:rPr>
              <w:fldChar w:fldCharType="begin"/>
            </w:r>
            <w:r>
              <w:rPr>
                <w:noProof/>
                <w:webHidden/>
              </w:rPr>
              <w:instrText xml:space="preserve"> PAGEREF _Toc57130446 \h </w:instrText>
            </w:r>
            <w:r>
              <w:rPr>
                <w:noProof/>
                <w:webHidden/>
              </w:rPr>
            </w:r>
            <w:r>
              <w:rPr>
                <w:noProof/>
                <w:webHidden/>
              </w:rPr>
              <w:fldChar w:fldCharType="separate"/>
            </w:r>
            <w:r>
              <w:rPr>
                <w:noProof/>
                <w:webHidden/>
              </w:rPr>
              <w:t>5</w:t>
            </w:r>
            <w:r>
              <w:rPr>
                <w:noProof/>
                <w:webHidden/>
              </w:rPr>
              <w:fldChar w:fldCharType="end"/>
            </w:r>
          </w:hyperlink>
        </w:p>
        <w:p w14:paraId="21BB47F0" w14:textId="41BD30ED" w:rsidR="00F238F7" w:rsidRDefault="00F238F7">
          <w:pPr>
            <w:pStyle w:val="TOC1"/>
            <w:tabs>
              <w:tab w:val="right" w:leader="dot" w:pos="9350"/>
            </w:tabs>
            <w:rPr>
              <w:rFonts w:eastAsiaTheme="minorEastAsia" w:cstheme="minorBidi"/>
              <w:b w:val="0"/>
              <w:bCs w:val="0"/>
              <w:i w:val="0"/>
              <w:iCs w:val="0"/>
              <w:noProof/>
            </w:rPr>
          </w:pPr>
          <w:hyperlink w:anchor="_Toc57130447" w:history="1">
            <w:r w:rsidRPr="00793C51">
              <w:rPr>
                <w:rStyle w:val="Hyperlink"/>
                <w:rFonts w:ascii="Times New Roman" w:hAnsi="Times New Roman" w:cs="Times New Roman"/>
                <w:noProof/>
              </w:rPr>
              <w:t>3 Package Introduction</w:t>
            </w:r>
            <w:r>
              <w:rPr>
                <w:noProof/>
                <w:webHidden/>
              </w:rPr>
              <w:tab/>
            </w:r>
            <w:r>
              <w:rPr>
                <w:noProof/>
                <w:webHidden/>
              </w:rPr>
              <w:fldChar w:fldCharType="begin"/>
            </w:r>
            <w:r>
              <w:rPr>
                <w:noProof/>
                <w:webHidden/>
              </w:rPr>
              <w:instrText xml:space="preserve"> PAGEREF _Toc57130447 \h </w:instrText>
            </w:r>
            <w:r>
              <w:rPr>
                <w:noProof/>
                <w:webHidden/>
              </w:rPr>
            </w:r>
            <w:r>
              <w:rPr>
                <w:noProof/>
                <w:webHidden/>
              </w:rPr>
              <w:fldChar w:fldCharType="separate"/>
            </w:r>
            <w:r>
              <w:rPr>
                <w:noProof/>
                <w:webHidden/>
              </w:rPr>
              <w:t>6</w:t>
            </w:r>
            <w:r>
              <w:rPr>
                <w:noProof/>
                <w:webHidden/>
              </w:rPr>
              <w:fldChar w:fldCharType="end"/>
            </w:r>
          </w:hyperlink>
        </w:p>
        <w:p w14:paraId="28C37F41" w14:textId="061EFDE1" w:rsidR="00F238F7" w:rsidRDefault="00F238F7">
          <w:pPr>
            <w:pStyle w:val="TOC1"/>
            <w:tabs>
              <w:tab w:val="right" w:leader="dot" w:pos="9350"/>
            </w:tabs>
            <w:rPr>
              <w:rFonts w:eastAsiaTheme="minorEastAsia" w:cstheme="minorBidi"/>
              <w:b w:val="0"/>
              <w:bCs w:val="0"/>
              <w:i w:val="0"/>
              <w:iCs w:val="0"/>
              <w:noProof/>
            </w:rPr>
          </w:pPr>
          <w:hyperlink w:anchor="_Toc57130448" w:history="1">
            <w:r w:rsidRPr="00793C51">
              <w:rPr>
                <w:rStyle w:val="Hyperlink"/>
                <w:rFonts w:ascii="Times New Roman" w:hAnsi="Times New Roman" w:cs="Times New Roman"/>
                <w:noProof/>
              </w:rPr>
              <w:t>4 Data Wrangling</w:t>
            </w:r>
            <w:r>
              <w:rPr>
                <w:noProof/>
                <w:webHidden/>
              </w:rPr>
              <w:tab/>
            </w:r>
            <w:r>
              <w:rPr>
                <w:noProof/>
                <w:webHidden/>
              </w:rPr>
              <w:fldChar w:fldCharType="begin"/>
            </w:r>
            <w:r>
              <w:rPr>
                <w:noProof/>
                <w:webHidden/>
              </w:rPr>
              <w:instrText xml:space="preserve"> PAGEREF _Toc57130448 \h </w:instrText>
            </w:r>
            <w:r>
              <w:rPr>
                <w:noProof/>
                <w:webHidden/>
              </w:rPr>
            </w:r>
            <w:r>
              <w:rPr>
                <w:noProof/>
                <w:webHidden/>
              </w:rPr>
              <w:fldChar w:fldCharType="separate"/>
            </w:r>
            <w:r>
              <w:rPr>
                <w:noProof/>
                <w:webHidden/>
              </w:rPr>
              <w:t>7</w:t>
            </w:r>
            <w:r>
              <w:rPr>
                <w:noProof/>
                <w:webHidden/>
              </w:rPr>
              <w:fldChar w:fldCharType="end"/>
            </w:r>
          </w:hyperlink>
        </w:p>
        <w:p w14:paraId="6EF5BBE0" w14:textId="044079D8" w:rsidR="00F238F7" w:rsidRDefault="00F238F7">
          <w:pPr>
            <w:pStyle w:val="TOC2"/>
            <w:tabs>
              <w:tab w:val="right" w:leader="dot" w:pos="9350"/>
            </w:tabs>
            <w:rPr>
              <w:rFonts w:eastAsiaTheme="minorEastAsia" w:cstheme="minorBidi"/>
              <w:b w:val="0"/>
              <w:bCs w:val="0"/>
              <w:noProof/>
              <w:sz w:val="24"/>
              <w:szCs w:val="24"/>
            </w:rPr>
          </w:pPr>
          <w:hyperlink w:anchor="_Toc57130449" w:history="1">
            <w:r w:rsidRPr="00793C51">
              <w:rPr>
                <w:rStyle w:val="Hyperlink"/>
                <w:rFonts w:ascii="Times New Roman" w:hAnsi="Times New Roman" w:cs="Times New Roman"/>
                <w:noProof/>
              </w:rPr>
              <w:t>4.1 Dataset Information</w:t>
            </w:r>
            <w:r>
              <w:rPr>
                <w:noProof/>
                <w:webHidden/>
              </w:rPr>
              <w:tab/>
            </w:r>
            <w:r>
              <w:rPr>
                <w:noProof/>
                <w:webHidden/>
              </w:rPr>
              <w:fldChar w:fldCharType="begin"/>
            </w:r>
            <w:r>
              <w:rPr>
                <w:noProof/>
                <w:webHidden/>
              </w:rPr>
              <w:instrText xml:space="preserve"> PAGEREF _Toc57130449 \h </w:instrText>
            </w:r>
            <w:r>
              <w:rPr>
                <w:noProof/>
                <w:webHidden/>
              </w:rPr>
            </w:r>
            <w:r>
              <w:rPr>
                <w:noProof/>
                <w:webHidden/>
              </w:rPr>
              <w:fldChar w:fldCharType="separate"/>
            </w:r>
            <w:r>
              <w:rPr>
                <w:noProof/>
                <w:webHidden/>
              </w:rPr>
              <w:t>7</w:t>
            </w:r>
            <w:r>
              <w:rPr>
                <w:noProof/>
                <w:webHidden/>
              </w:rPr>
              <w:fldChar w:fldCharType="end"/>
            </w:r>
          </w:hyperlink>
        </w:p>
        <w:p w14:paraId="6435635A" w14:textId="08363ADE" w:rsidR="00F238F7" w:rsidRDefault="00F238F7">
          <w:pPr>
            <w:pStyle w:val="TOC2"/>
            <w:tabs>
              <w:tab w:val="right" w:leader="dot" w:pos="9350"/>
            </w:tabs>
            <w:rPr>
              <w:rFonts w:eastAsiaTheme="minorEastAsia" w:cstheme="minorBidi"/>
              <w:b w:val="0"/>
              <w:bCs w:val="0"/>
              <w:noProof/>
              <w:sz w:val="24"/>
              <w:szCs w:val="24"/>
            </w:rPr>
          </w:pPr>
          <w:hyperlink w:anchor="_Toc57130450" w:history="1">
            <w:r w:rsidRPr="00793C51">
              <w:rPr>
                <w:rStyle w:val="Hyperlink"/>
                <w:rFonts w:ascii="Times New Roman" w:hAnsi="Times New Roman" w:cs="Times New Roman"/>
                <w:noProof/>
              </w:rPr>
              <w:t>4.2 Data Processing</w:t>
            </w:r>
            <w:r>
              <w:rPr>
                <w:noProof/>
                <w:webHidden/>
              </w:rPr>
              <w:tab/>
            </w:r>
            <w:r>
              <w:rPr>
                <w:noProof/>
                <w:webHidden/>
              </w:rPr>
              <w:fldChar w:fldCharType="begin"/>
            </w:r>
            <w:r>
              <w:rPr>
                <w:noProof/>
                <w:webHidden/>
              </w:rPr>
              <w:instrText xml:space="preserve"> PAGEREF _Toc57130450 \h </w:instrText>
            </w:r>
            <w:r>
              <w:rPr>
                <w:noProof/>
                <w:webHidden/>
              </w:rPr>
            </w:r>
            <w:r>
              <w:rPr>
                <w:noProof/>
                <w:webHidden/>
              </w:rPr>
              <w:fldChar w:fldCharType="separate"/>
            </w:r>
            <w:r>
              <w:rPr>
                <w:noProof/>
                <w:webHidden/>
              </w:rPr>
              <w:t>8</w:t>
            </w:r>
            <w:r>
              <w:rPr>
                <w:noProof/>
                <w:webHidden/>
              </w:rPr>
              <w:fldChar w:fldCharType="end"/>
            </w:r>
          </w:hyperlink>
        </w:p>
        <w:p w14:paraId="6F3171F2" w14:textId="4A9FB85D" w:rsidR="00F238F7" w:rsidRDefault="00F238F7">
          <w:pPr>
            <w:pStyle w:val="TOC1"/>
            <w:tabs>
              <w:tab w:val="right" w:leader="dot" w:pos="9350"/>
            </w:tabs>
            <w:rPr>
              <w:rFonts w:eastAsiaTheme="minorEastAsia" w:cstheme="minorBidi"/>
              <w:b w:val="0"/>
              <w:bCs w:val="0"/>
              <w:i w:val="0"/>
              <w:iCs w:val="0"/>
              <w:noProof/>
            </w:rPr>
          </w:pPr>
          <w:hyperlink w:anchor="_Toc57130451" w:history="1">
            <w:r w:rsidRPr="00793C51">
              <w:rPr>
                <w:rStyle w:val="Hyperlink"/>
                <w:rFonts w:ascii="Times New Roman" w:hAnsi="Times New Roman" w:cs="Times New Roman"/>
                <w:noProof/>
              </w:rPr>
              <w:t>5 Exploratory Data Analysis</w:t>
            </w:r>
            <w:r>
              <w:rPr>
                <w:noProof/>
                <w:webHidden/>
              </w:rPr>
              <w:tab/>
            </w:r>
            <w:r>
              <w:rPr>
                <w:noProof/>
                <w:webHidden/>
              </w:rPr>
              <w:fldChar w:fldCharType="begin"/>
            </w:r>
            <w:r>
              <w:rPr>
                <w:noProof/>
                <w:webHidden/>
              </w:rPr>
              <w:instrText xml:space="preserve"> PAGEREF _Toc57130451 \h </w:instrText>
            </w:r>
            <w:r>
              <w:rPr>
                <w:noProof/>
                <w:webHidden/>
              </w:rPr>
            </w:r>
            <w:r>
              <w:rPr>
                <w:noProof/>
                <w:webHidden/>
              </w:rPr>
              <w:fldChar w:fldCharType="separate"/>
            </w:r>
            <w:r>
              <w:rPr>
                <w:noProof/>
                <w:webHidden/>
              </w:rPr>
              <w:t>9</w:t>
            </w:r>
            <w:r>
              <w:rPr>
                <w:noProof/>
                <w:webHidden/>
              </w:rPr>
              <w:fldChar w:fldCharType="end"/>
            </w:r>
          </w:hyperlink>
        </w:p>
        <w:p w14:paraId="56ED5397" w14:textId="5D25F04A" w:rsidR="00F238F7" w:rsidRDefault="00F238F7">
          <w:pPr>
            <w:pStyle w:val="TOC2"/>
            <w:tabs>
              <w:tab w:val="right" w:leader="dot" w:pos="9350"/>
            </w:tabs>
            <w:rPr>
              <w:rFonts w:eastAsiaTheme="minorEastAsia" w:cstheme="minorBidi"/>
              <w:b w:val="0"/>
              <w:bCs w:val="0"/>
              <w:noProof/>
              <w:sz w:val="24"/>
              <w:szCs w:val="24"/>
            </w:rPr>
          </w:pPr>
          <w:hyperlink w:anchor="_Toc57130452" w:history="1">
            <w:r w:rsidRPr="00793C51">
              <w:rPr>
                <w:rStyle w:val="Hyperlink"/>
                <w:rFonts w:ascii="Times New Roman" w:hAnsi="Times New Roman" w:cs="Times New Roman"/>
                <w:noProof/>
              </w:rPr>
              <w:t>5.1 Summary Statistic</w:t>
            </w:r>
            <w:r>
              <w:rPr>
                <w:noProof/>
                <w:webHidden/>
              </w:rPr>
              <w:tab/>
            </w:r>
            <w:r>
              <w:rPr>
                <w:noProof/>
                <w:webHidden/>
              </w:rPr>
              <w:fldChar w:fldCharType="begin"/>
            </w:r>
            <w:r>
              <w:rPr>
                <w:noProof/>
                <w:webHidden/>
              </w:rPr>
              <w:instrText xml:space="preserve"> PAGEREF _Toc57130452 \h </w:instrText>
            </w:r>
            <w:r>
              <w:rPr>
                <w:noProof/>
                <w:webHidden/>
              </w:rPr>
            </w:r>
            <w:r>
              <w:rPr>
                <w:noProof/>
                <w:webHidden/>
              </w:rPr>
              <w:fldChar w:fldCharType="separate"/>
            </w:r>
            <w:r>
              <w:rPr>
                <w:noProof/>
                <w:webHidden/>
              </w:rPr>
              <w:t>9</w:t>
            </w:r>
            <w:r>
              <w:rPr>
                <w:noProof/>
                <w:webHidden/>
              </w:rPr>
              <w:fldChar w:fldCharType="end"/>
            </w:r>
          </w:hyperlink>
        </w:p>
        <w:p w14:paraId="69AC994D" w14:textId="373527F4" w:rsidR="00F238F7" w:rsidRDefault="00F238F7">
          <w:pPr>
            <w:pStyle w:val="TOC2"/>
            <w:tabs>
              <w:tab w:val="right" w:leader="dot" w:pos="9350"/>
            </w:tabs>
            <w:rPr>
              <w:rFonts w:eastAsiaTheme="minorEastAsia" w:cstheme="minorBidi"/>
              <w:b w:val="0"/>
              <w:bCs w:val="0"/>
              <w:noProof/>
              <w:sz w:val="24"/>
              <w:szCs w:val="24"/>
            </w:rPr>
          </w:pPr>
          <w:hyperlink w:anchor="_Toc57130453" w:history="1">
            <w:r w:rsidRPr="00793C51">
              <w:rPr>
                <w:rStyle w:val="Hyperlink"/>
                <w:rFonts w:ascii="Times New Roman" w:hAnsi="Times New Roman" w:cs="Times New Roman"/>
                <w:noProof/>
              </w:rPr>
              <w:t>5.2 Overall Distribution</w:t>
            </w:r>
            <w:r>
              <w:rPr>
                <w:noProof/>
                <w:webHidden/>
              </w:rPr>
              <w:tab/>
            </w:r>
            <w:r>
              <w:rPr>
                <w:noProof/>
                <w:webHidden/>
              </w:rPr>
              <w:fldChar w:fldCharType="begin"/>
            </w:r>
            <w:r>
              <w:rPr>
                <w:noProof/>
                <w:webHidden/>
              </w:rPr>
              <w:instrText xml:space="preserve"> PAGEREF _Toc57130453 \h </w:instrText>
            </w:r>
            <w:r>
              <w:rPr>
                <w:noProof/>
                <w:webHidden/>
              </w:rPr>
            </w:r>
            <w:r>
              <w:rPr>
                <w:noProof/>
                <w:webHidden/>
              </w:rPr>
              <w:fldChar w:fldCharType="separate"/>
            </w:r>
            <w:r>
              <w:rPr>
                <w:noProof/>
                <w:webHidden/>
              </w:rPr>
              <w:t>9</w:t>
            </w:r>
            <w:r>
              <w:rPr>
                <w:noProof/>
                <w:webHidden/>
              </w:rPr>
              <w:fldChar w:fldCharType="end"/>
            </w:r>
          </w:hyperlink>
        </w:p>
        <w:p w14:paraId="1D8209D3" w14:textId="2F654DE8" w:rsidR="00F238F7" w:rsidRDefault="00F238F7">
          <w:pPr>
            <w:pStyle w:val="TOC2"/>
            <w:tabs>
              <w:tab w:val="right" w:leader="dot" w:pos="9350"/>
            </w:tabs>
            <w:rPr>
              <w:rFonts w:eastAsiaTheme="minorEastAsia" w:cstheme="minorBidi"/>
              <w:b w:val="0"/>
              <w:bCs w:val="0"/>
              <w:noProof/>
              <w:sz w:val="24"/>
              <w:szCs w:val="24"/>
            </w:rPr>
          </w:pPr>
          <w:hyperlink w:anchor="_Toc57130454" w:history="1">
            <w:r w:rsidRPr="00793C51">
              <w:rPr>
                <w:rStyle w:val="Hyperlink"/>
                <w:rFonts w:ascii="Times New Roman" w:hAnsi="Times New Roman" w:cs="Times New Roman"/>
                <w:noProof/>
              </w:rPr>
              <w:t>5.3 Experience vs. Target</w:t>
            </w:r>
            <w:r>
              <w:rPr>
                <w:noProof/>
                <w:webHidden/>
              </w:rPr>
              <w:tab/>
            </w:r>
            <w:r>
              <w:rPr>
                <w:noProof/>
                <w:webHidden/>
              </w:rPr>
              <w:fldChar w:fldCharType="begin"/>
            </w:r>
            <w:r>
              <w:rPr>
                <w:noProof/>
                <w:webHidden/>
              </w:rPr>
              <w:instrText xml:space="preserve"> PAGEREF _Toc57130454 \h </w:instrText>
            </w:r>
            <w:r>
              <w:rPr>
                <w:noProof/>
                <w:webHidden/>
              </w:rPr>
            </w:r>
            <w:r>
              <w:rPr>
                <w:noProof/>
                <w:webHidden/>
              </w:rPr>
              <w:fldChar w:fldCharType="separate"/>
            </w:r>
            <w:r>
              <w:rPr>
                <w:noProof/>
                <w:webHidden/>
              </w:rPr>
              <w:t>11</w:t>
            </w:r>
            <w:r>
              <w:rPr>
                <w:noProof/>
                <w:webHidden/>
              </w:rPr>
              <w:fldChar w:fldCharType="end"/>
            </w:r>
          </w:hyperlink>
        </w:p>
        <w:p w14:paraId="20BF97E1" w14:textId="3AB5E6FA" w:rsidR="00F238F7" w:rsidRDefault="00F238F7">
          <w:pPr>
            <w:pStyle w:val="TOC2"/>
            <w:tabs>
              <w:tab w:val="right" w:leader="dot" w:pos="9350"/>
            </w:tabs>
            <w:rPr>
              <w:rFonts w:eastAsiaTheme="minorEastAsia" w:cstheme="minorBidi"/>
              <w:b w:val="0"/>
              <w:bCs w:val="0"/>
              <w:noProof/>
              <w:sz w:val="24"/>
              <w:szCs w:val="24"/>
            </w:rPr>
          </w:pPr>
          <w:hyperlink w:anchor="_Toc57130455" w:history="1">
            <w:r w:rsidRPr="00793C51">
              <w:rPr>
                <w:rStyle w:val="Hyperlink"/>
                <w:rFonts w:ascii="Times New Roman" w:hAnsi="Times New Roman" w:cs="Times New Roman"/>
                <w:noProof/>
              </w:rPr>
              <w:t>5.4 City vs. Target</w:t>
            </w:r>
            <w:r>
              <w:rPr>
                <w:noProof/>
                <w:webHidden/>
              </w:rPr>
              <w:tab/>
            </w:r>
            <w:r>
              <w:rPr>
                <w:noProof/>
                <w:webHidden/>
              </w:rPr>
              <w:fldChar w:fldCharType="begin"/>
            </w:r>
            <w:r>
              <w:rPr>
                <w:noProof/>
                <w:webHidden/>
              </w:rPr>
              <w:instrText xml:space="preserve"> PAGEREF _Toc57130455 \h </w:instrText>
            </w:r>
            <w:r>
              <w:rPr>
                <w:noProof/>
                <w:webHidden/>
              </w:rPr>
            </w:r>
            <w:r>
              <w:rPr>
                <w:noProof/>
                <w:webHidden/>
              </w:rPr>
              <w:fldChar w:fldCharType="separate"/>
            </w:r>
            <w:r>
              <w:rPr>
                <w:noProof/>
                <w:webHidden/>
              </w:rPr>
              <w:t>12</w:t>
            </w:r>
            <w:r>
              <w:rPr>
                <w:noProof/>
                <w:webHidden/>
              </w:rPr>
              <w:fldChar w:fldCharType="end"/>
            </w:r>
          </w:hyperlink>
        </w:p>
        <w:p w14:paraId="71325D5D" w14:textId="2A421B14" w:rsidR="00F238F7" w:rsidRDefault="00F238F7">
          <w:pPr>
            <w:pStyle w:val="TOC2"/>
            <w:tabs>
              <w:tab w:val="right" w:leader="dot" w:pos="9350"/>
            </w:tabs>
            <w:rPr>
              <w:rFonts w:eastAsiaTheme="minorEastAsia" w:cstheme="minorBidi"/>
              <w:b w:val="0"/>
              <w:bCs w:val="0"/>
              <w:noProof/>
              <w:sz w:val="24"/>
              <w:szCs w:val="24"/>
            </w:rPr>
          </w:pPr>
          <w:hyperlink w:anchor="_Toc57130456" w:history="1">
            <w:r w:rsidRPr="00793C51">
              <w:rPr>
                <w:rStyle w:val="Hyperlink"/>
                <w:rFonts w:ascii="Times New Roman" w:hAnsi="Times New Roman" w:cs="Times New Roman"/>
                <w:noProof/>
              </w:rPr>
              <w:t>5.5 Training Hours vs. Target</w:t>
            </w:r>
            <w:r>
              <w:rPr>
                <w:noProof/>
                <w:webHidden/>
              </w:rPr>
              <w:tab/>
            </w:r>
            <w:r>
              <w:rPr>
                <w:noProof/>
                <w:webHidden/>
              </w:rPr>
              <w:fldChar w:fldCharType="begin"/>
            </w:r>
            <w:r>
              <w:rPr>
                <w:noProof/>
                <w:webHidden/>
              </w:rPr>
              <w:instrText xml:space="preserve"> PAGEREF _Toc57130456 \h </w:instrText>
            </w:r>
            <w:r>
              <w:rPr>
                <w:noProof/>
                <w:webHidden/>
              </w:rPr>
            </w:r>
            <w:r>
              <w:rPr>
                <w:noProof/>
                <w:webHidden/>
              </w:rPr>
              <w:fldChar w:fldCharType="separate"/>
            </w:r>
            <w:r>
              <w:rPr>
                <w:noProof/>
                <w:webHidden/>
              </w:rPr>
              <w:t>13</w:t>
            </w:r>
            <w:r>
              <w:rPr>
                <w:noProof/>
                <w:webHidden/>
              </w:rPr>
              <w:fldChar w:fldCharType="end"/>
            </w:r>
          </w:hyperlink>
        </w:p>
        <w:p w14:paraId="3434B5B1" w14:textId="2A2F8A26" w:rsidR="00F238F7" w:rsidRDefault="00F238F7">
          <w:pPr>
            <w:pStyle w:val="TOC2"/>
            <w:tabs>
              <w:tab w:val="right" w:leader="dot" w:pos="9350"/>
            </w:tabs>
            <w:rPr>
              <w:rFonts w:eastAsiaTheme="minorEastAsia" w:cstheme="minorBidi"/>
              <w:b w:val="0"/>
              <w:bCs w:val="0"/>
              <w:noProof/>
              <w:sz w:val="24"/>
              <w:szCs w:val="24"/>
            </w:rPr>
          </w:pPr>
          <w:hyperlink w:anchor="_Toc57130457" w:history="1">
            <w:r w:rsidRPr="00793C51">
              <w:rPr>
                <w:rStyle w:val="Hyperlink"/>
                <w:rFonts w:ascii="Times New Roman" w:hAnsi="Times New Roman" w:cs="Times New Roman"/>
                <w:noProof/>
              </w:rPr>
              <w:t>5.6 Variable Correlation Coefficient</w:t>
            </w:r>
            <w:r>
              <w:rPr>
                <w:noProof/>
                <w:webHidden/>
              </w:rPr>
              <w:tab/>
            </w:r>
            <w:r>
              <w:rPr>
                <w:noProof/>
                <w:webHidden/>
              </w:rPr>
              <w:fldChar w:fldCharType="begin"/>
            </w:r>
            <w:r>
              <w:rPr>
                <w:noProof/>
                <w:webHidden/>
              </w:rPr>
              <w:instrText xml:space="preserve"> PAGEREF _Toc57130457 \h </w:instrText>
            </w:r>
            <w:r>
              <w:rPr>
                <w:noProof/>
                <w:webHidden/>
              </w:rPr>
            </w:r>
            <w:r>
              <w:rPr>
                <w:noProof/>
                <w:webHidden/>
              </w:rPr>
              <w:fldChar w:fldCharType="separate"/>
            </w:r>
            <w:r>
              <w:rPr>
                <w:noProof/>
                <w:webHidden/>
              </w:rPr>
              <w:t>13</w:t>
            </w:r>
            <w:r>
              <w:rPr>
                <w:noProof/>
                <w:webHidden/>
              </w:rPr>
              <w:fldChar w:fldCharType="end"/>
            </w:r>
          </w:hyperlink>
        </w:p>
        <w:p w14:paraId="652B1958" w14:textId="5FDE178A" w:rsidR="00F238F7" w:rsidRDefault="00F238F7">
          <w:pPr>
            <w:pStyle w:val="TOC1"/>
            <w:tabs>
              <w:tab w:val="right" w:leader="dot" w:pos="9350"/>
            </w:tabs>
            <w:rPr>
              <w:rFonts w:eastAsiaTheme="minorEastAsia" w:cstheme="minorBidi"/>
              <w:b w:val="0"/>
              <w:bCs w:val="0"/>
              <w:i w:val="0"/>
              <w:iCs w:val="0"/>
              <w:noProof/>
            </w:rPr>
          </w:pPr>
          <w:hyperlink w:anchor="_Toc57130458" w:history="1">
            <w:r w:rsidRPr="00793C51">
              <w:rPr>
                <w:rStyle w:val="Hyperlink"/>
                <w:rFonts w:ascii="Times New Roman" w:hAnsi="Times New Roman" w:cs="Times New Roman"/>
                <w:noProof/>
              </w:rPr>
              <w:t>6 Machine Learning</w:t>
            </w:r>
            <w:r>
              <w:rPr>
                <w:noProof/>
                <w:webHidden/>
              </w:rPr>
              <w:tab/>
            </w:r>
            <w:r>
              <w:rPr>
                <w:noProof/>
                <w:webHidden/>
              </w:rPr>
              <w:fldChar w:fldCharType="begin"/>
            </w:r>
            <w:r>
              <w:rPr>
                <w:noProof/>
                <w:webHidden/>
              </w:rPr>
              <w:instrText xml:space="preserve"> PAGEREF _Toc57130458 \h </w:instrText>
            </w:r>
            <w:r>
              <w:rPr>
                <w:noProof/>
                <w:webHidden/>
              </w:rPr>
            </w:r>
            <w:r>
              <w:rPr>
                <w:noProof/>
                <w:webHidden/>
              </w:rPr>
              <w:fldChar w:fldCharType="separate"/>
            </w:r>
            <w:r>
              <w:rPr>
                <w:noProof/>
                <w:webHidden/>
              </w:rPr>
              <w:t>14</w:t>
            </w:r>
            <w:r>
              <w:rPr>
                <w:noProof/>
                <w:webHidden/>
              </w:rPr>
              <w:fldChar w:fldCharType="end"/>
            </w:r>
          </w:hyperlink>
        </w:p>
        <w:p w14:paraId="41784133" w14:textId="2BFC248C" w:rsidR="00F238F7" w:rsidRDefault="00F238F7">
          <w:pPr>
            <w:pStyle w:val="TOC2"/>
            <w:tabs>
              <w:tab w:val="right" w:leader="dot" w:pos="9350"/>
            </w:tabs>
            <w:rPr>
              <w:rFonts w:eastAsiaTheme="minorEastAsia" w:cstheme="minorBidi"/>
              <w:b w:val="0"/>
              <w:bCs w:val="0"/>
              <w:noProof/>
              <w:sz w:val="24"/>
              <w:szCs w:val="24"/>
            </w:rPr>
          </w:pPr>
          <w:hyperlink w:anchor="_Toc57130459" w:history="1">
            <w:r w:rsidRPr="00793C51">
              <w:rPr>
                <w:rStyle w:val="Hyperlink"/>
                <w:rFonts w:ascii="Times New Roman" w:hAnsi="Times New Roman" w:cs="Times New Roman"/>
                <w:noProof/>
              </w:rPr>
              <w:t>6.1 Data Preprocessing and Feature Selection</w:t>
            </w:r>
            <w:r>
              <w:rPr>
                <w:noProof/>
                <w:webHidden/>
              </w:rPr>
              <w:tab/>
            </w:r>
            <w:r>
              <w:rPr>
                <w:noProof/>
                <w:webHidden/>
              </w:rPr>
              <w:fldChar w:fldCharType="begin"/>
            </w:r>
            <w:r>
              <w:rPr>
                <w:noProof/>
                <w:webHidden/>
              </w:rPr>
              <w:instrText xml:space="preserve"> PAGEREF _Toc57130459 \h </w:instrText>
            </w:r>
            <w:r>
              <w:rPr>
                <w:noProof/>
                <w:webHidden/>
              </w:rPr>
            </w:r>
            <w:r>
              <w:rPr>
                <w:noProof/>
                <w:webHidden/>
              </w:rPr>
              <w:fldChar w:fldCharType="separate"/>
            </w:r>
            <w:r>
              <w:rPr>
                <w:noProof/>
                <w:webHidden/>
              </w:rPr>
              <w:t>14</w:t>
            </w:r>
            <w:r>
              <w:rPr>
                <w:noProof/>
                <w:webHidden/>
              </w:rPr>
              <w:fldChar w:fldCharType="end"/>
            </w:r>
          </w:hyperlink>
        </w:p>
        <w:p w14:paraId="3D6A2183" w14:textId="6830BE62" w:rsidR="00F238F7" w:rsidRDefault="00F238F7">
          <w:pPr>
            <w:pStyle w:val="TOC2"/>
            <w:tabs>
              <w:tab w:val="right" w:leader="dot" w:pos="9350"/>
            </w:tabs>
            <w:rPr>
              <w:rFonts w:eastAsiaTheme="minorEastAsia" w:cstheme="minorBidi"/>
              <w:b w:val="0"/>
              <w:bCs w:val="0"/>
              <w:noProof/>
              <w:sz w:val="24"/>
              <w:szCs w:val="24"/>
            </w:rPr>
          </w:pPr>
          <w:hyperlink w:anchor="_Toc57130460" w:history="1">
            <w:r w:rsidRPr="00793C51">
              <w:rPr>
                <w:rStyle w:val="Hyperlink"/>
                <w:rFonts w:ascii="Times New Roman" w:hAnsi="Times New Roman" w:cs="Times New Roman"/>
                <w:noProof/>
              </w:rPr>
              <w:t>6.2 Model Selection</w:t>
            </w:r>
            <w:r>
              <w:rPr>
                <w:noProof/>
                <w:webHidden/>
              </w:rPr>
              <w:tab/>
            </w:r>
            <w:r>
              <w:rPr>
                <w:noProof/>
                <w:webHidden/>
              </w:rPr>
              <w:fldChar w:fldCharType="begin"/>
            </w:r>
            <w:r>
              <w:rPr>
                <w:noProof/>
                <w:webHidden/>
              </w:rPr>
              <w:instrText xml:space="preserve"> PAGEREF _Toc57130460 \h </w:instrText>
            </w:r>
            <w:r>
              <w:rPr>
                <w:noProof/>
                <w:webHidden/>
              </w:rPr>
            </w:r>
            <w:r>
              <w:rPr>
                <w:noProof/>
                <w:webHidden/>
              </w:rPr>
              <w:fldChar w:fldCharType="separate"/>
            </w:r>
            <w:r>
              <w:rPr>
                <w:noProof/>
                <w:webHidden/>
              </w:rPr>
              <w:t>15</w:t>
            </w:r>
            <w:r>
              <w:rPr>
                <w:noProof/>
                <w:webHidden/>
              </w:rPr>
              <w:fldChar w:fldCharType="end"/>
            </w:r>
          </w:hyperlink>
        </w:p>
        <w:p w14:paraId="2B946C38" w14:textId="5B69AC99" w:rsidR="00F238F7" w:rsidRDefault="00F238F7">
          <w:pPr>
            <w:pStyle w:val="TOC2"/>
            <w:tabs>
              <w:tab w:val="right" w:leader="dot" w:pos="9350"/>
            </w:tabs>
            <w:rPr>
              <w:rFonts w:eastAsiaTheme="minorEastAsia" w:cstheme="minorBidi"/>
              <w:b w:val="0"/>
              <w:bCs w:val="0"/>
              <w:noProof/>
              <w:sz w:val="24"/>
              <w:szCs w:val="24"/>
            </w:rPr>
          </w:pPr>
          <w:hyperlink w:anchor="_Toc57130461" w:history="1">
            <w:r w:rsidRPr="00793C51">
              <w:rPr>
                <w:rStyle w:val="Hyperlink"/>
                <w:rFonts w:ascii="Times New Roman" w:hAnsi="Times New Roman" w:cs="Times New Roman"/>
                <w:noProof/>
              </w:rPr>
              <w:t>6.3 Baseline Model Evaluation</w:t>
            </w:r>
            <w:r>
              <w:rPr>
                <w:noProof/>
                <w:webHidden/>
              </w:rPr>
              <w:tab/>
            </w:r>
            <w:r>
              <w:rPr>
                <w:noProof/>
                <w:webHidden/>
              </w:rPr>
              <w:fldChar w:fldCharType="begin"/>
            </w:r>
            <w:r>
              <w:rPr>
                <w:noProof/>
                <w:webHidden/>
              </w:rPr>
              <w:instrText xml:space="preserve"> PAGEREF _Toc57130461 \h </w:instrText>
            </w:r>
            <w:r>
              <w:rPr>
                <w:noProof/>
                <w:webHidden/>
              </w:rPr>
            </w:r>
            <w:r>
              <w:rPr>
                <w:noProof/>
                <w:webHidden/>
              </w:rPr>
              <w:fldChar w:fldCharType="separate"/>
            </w:r>
            <w:r>
              <w:rPr>
                <w:noProof/>
                <w:webHidden/>
              </w:rPr>
              <w:t>16</w:t>
            </w:r>
            <w:r>
              <w:rPr>
                <w:noProof/>
                <w:webHidden/>
              </w:rPr>
              <w:fldChar w:fldCharType="end"/>
            </w:r>
          </w:hyperlink>
        </w:p>
        <w:p w14:paraId="78085AB6" w14:textId="2F0D44D7" w:rsidR="00F238F7" w:rsidRDefault="00F238F7">
          <w:pPr>
            <w:pStyle w:val="TOC1"/>
            <w:tabs>
              <w:tab w:val="right" w:leader="dot" w:pos="9350"/>
            </w:tabs>
            <w:rPr>
              <w:rFonts w:eastAsiaTheme="minorEastAsia" w:cstheme="minorBidi"/>
              <w:b w:val="0"/>
              <w:bCs w:val="0"/>
              <w:i w:val="0"/>
              <w:iCs w:val="0"/>
              <w:noProof/>
            </w:rPr>
          </w:pPr>
          <w:hyperlink w:anchor="_Toc57130462" w:history="1">
            <w:r w:rsidRPr="00793C51">
              <w:rPr>
                <w:rStyle w:val="Hyperlink"/>
                <w:rFonts w:ascii="Times New Roman" w:hAnsi="Times New Roman" w:cs="Times New Roman"/>
                <w:noProof/>
              </w:rPr>
              <w:t>6.4 Oversampling (SMOTE)</w:t>
            </w:r>
            <w:r>
              <w:rPr>
                <w:noProof/>
                <w:webHidden/>
              </w:rPr>
              <w:tab/>
            </w:r>
            <w:r>
              <w:rPr>
                <w:noProof/>
                <w:webHidden/>
              </w:rPr>
              <w:fldChar w:fldCharType="begin"/>
            </w:r>
            <w:r>
              <w:rPr>
                <w:noProof/>
                <w:webHidden/>
              </w:rPr>
              <w:instrText xml:space="preserve"> PAGEREF _Toc57130462 \h </w:instrText>
            </w:r>
            <w:r>
              <w:rPr>
                <w:noProof/>
                <w:webHidden/>
              </w:rPr>
            </w:r>
            <w:r>
              <w:rPr>
                <w:noProof/>
                <w:webHidden/>
              </w:rPr>
              <w:fldChar w:fldCharType="separate"/>
            </w:r>
            <w:r>
              <w:rPr>
                <w:noProof/>
                <w:webHidden/>
              </w:rPr>
              <w:t>20</w:t>
            </w:r>
            <w:r>
              <w:rPr>
                <w:noProof/>
                <w:webHidden/>
              </w:rPr>
              <w:fldChar w:fldCharType="end"/>
            </w:r>
          </w:hyperlink>
        </w:p>
        <w:p w14:paraId="738CE50F" w14:textId="4A0C2A5B" w:rsidR="00F238F7" w:rsidRDefault="00F238F7">
          <w:pPr>
            <w:pStyle w:val="TOC3"/>
            <w:tabs>
              <w:tab w:val="right" w:leader="dot" w:pos="9350"/>
            </w:tabs>
            <w:rPr>
              <w:rFonts w:eastAsiaTheme="minorEastAsia" w:cstheme="minorBidi"/>
              <w:noProof/>
              <w:sz w:val="24"/>
              <w:szCs w:val="24"/>
            </w:rPr>
          </w:pPr>
          <w:hyperlink w:anchor="_Toc57130463" w:history="1">
            <w:r w:rsidRPr="00793C51">
              <w:rPr>
                <w:rStyle w:val="Hyperlink"/>
                <w:rFonts w:ascii="Times New Roman" w:hAnsi="Times New Roman" w:cs="Times New Roman"/>
                <w:noProof/>
                <w:lang w:eastAsia="en-US"/>
              </w:rPr>
              <w:t>6.4.1 Model Comparison after SMOTE</w:t>
            </w:r>
            <w:r>
              <w:rPr>
                <w:noProof/>
                <w:webHidden/>
              </w:rPr>
              <w:tab/>
            </w:r>
            <w:r>
              <w:rPr>
                <w:noProof/>
                <w:webHidden/>
              </w:rPr>
              <w:fldChar w:fldCharType="begin"/>
            </w:r>
            <w:r>
              <w:rPr>
                <w:noProof/>
                <w:webHidden/>
              </w:rPr>
              <w:instrText xml:space="preserve"> PAGEREF _Toc57130463 \h </w:instrText>
            </w:r>
            <w:r>
              <w:rPr>
                <w:noProof/>
                <w:webHidden/>
              </w:rPr>
            </w:r>
            <w:r>
              <w:rPr>
                <w:noProof/>
                <w:webHidden/>
              </w:rPr>
              <w:fldChar w:fldCharType="separate"/>
            </w:r>
            <w:r>
              <w:rPr>
                <w:noProof/>
                <w:webHidden/>
              </w:rPr>
              <w:t>20</w:t>
            </w:r>
            <w:r>
              <w:rPr>
                <w:noProof/>
                <w:webHidden/>
              </w:rPr>
              <w:fldChar w:fldCharType="end"/>
            </w:r>
          </w:hyperlink>
        </w:p>
        <w:p w14:paraId="7F3C74D8" w14:textId="6B7E9F44" w:rsidR="00F238F7" w:rsidRDefault="00F238F7">
          <w:pPr>
            <w:pStyle w:val="TOC3"/>
            <w:tabs>
              <w:tab w:val="right" w:leader="dot" w:pos="9350"/>
            </w:tabs>
            <w:rPr>
              <w:rFonts w:eastAsiaTheme="minorEastAsia" w:cstheme="minorBidi"/>
              <w:noProof/>
              <w:sz w:val="24"/>
              <w:szCs w:val="24"/>
            </w:rPr>
          </w:pPr>
          <w:hyperlink w:anchor="_Toc57130464" w:history="1">
            <w:r w:rsidRPr="00793C51">
              <w:rPr>
                <w:rStyle w:val="Hyperlink"/>
                <w:rFonts w:ascii="Times New Roman" w:hAnsi="Times New Roman" w:cs="Times New Roman"/>
                <w:noProof/>
                <w:lang w:eastAsia="en-US"/>
              </w:rPr>
              <w:t>6.4.2 Model and key Metric Selection</w:t>
            </w:r>
            <w:r>
              <w:rPr>
                <w:noProof/>
                <w:webHidden/>
              </w:rPr>
              <w:tab/>
            </w:r>
            <w:r>
              <w:rPr>
                <w:noProof/>
                <w:webHidden/>
              </w:rPr>
              <w:fldChar w:fldCharType="begin"/>
            </w:r>
            <w:r>
              <w:rPr>
                <w:noProof/>
                <w:webHidden/>
              </w:rPr>
              <w:instrText xml:space="preserve"> PAGEREF _Toc57130464 \h </w:instrText>
            </w:r>
            <w:r>
              <w:rPr>
                <w:noProof/>
                <w:webHidden/>
              </w:rPr>
            </w:r>
            <w:r>
              <w:rPr>
                <w:noProof/>
                <w:webHidden/>
              </w:rPr>
              <w:fldChar w:fldCharType="separate"/>
            </w:r>
            <w:r>
              <w:rPr>
                <w:noProof/>
                <w:webHidden/>
              </w:rPr>
              <w:t>22</w:t>
            </w:r>
            <w:r>
              <w:rPr>
                <w:noProof/>
                <w:webHidden/>
              </w:rPr>
              <w:fldChar w:fldCharType="end"/>
            </w:r>
          </w:hyperlink>
        </w:p>
        <w:p w14:paraId="4D5B812C" w14:textId="7C28FC4A" w:rsidR="00F238F7" w:rsidRDefault="00F238F7">
          <w:pPr>
            <w:pStyle w:val="TOC2"/>
            <w:tabs>
              <w:tab w:val="right" w:leader="dot" w:pos="9350"/>
            </w:tabs>
            <w:rPr>
              <w:rFonts w:eastAsiaTheme="minorEastAsia" w:cstheme="minorBidi"/>
              <w:b w:val="0"/>
              <w:bCs w:val="0"/>
              <w:noProof/>
              <w:sz w:val="24"/>
              <w:szCs w:val="24"/>
            </w:rPr>
          </w:pPr>
          <w:hyperlink w:anchor="_Toc57130465" w:history="1">
            <w:r w:rsidRPr="00793C51">
              <w:rPr>
                <w:rStyle w:val="Hyperlink"/>
                <w:rFonts w:ascii="Times New Roman" w:hAnsi="Times New Roman" w:cs="Times New Roman"/>
                <w:noProof/>
              </w:rPr>
              <w:t>6.5 Experiment with Model Xgboost Classifier</w:t>
            </w:r>
            <w:r>
              <w:rPr>
                <w:noProof/>
                <w:webHidden/>
              </w:rPr>
              <w:tab/>
            </w:r>
            <w:r>
              <w:rPr>
                <w:noProof/>
                <w:webHidden/>
              </w:rPr>
              <w:fldChar w:fldCharType="begin"/>
            </w:r>
            <w:r>
              <w:rPr>
                <w:noProof/>
                <w:webHidden/>
              </w:rPr>
              <w:instrText xml:space="preserve"> PAGEREF _Toc57130465 \h </w:instrText>
            </w:r>
            <w:r>
              <w:rPr>
                <w:noProof/>
                <w:webHidden/>
              </w:rPr>
            </w:r>
            <w:r>
              <w:rPr>
                <w:noProof/>
                <w:webHidden/>
              </w:rPr>
              <w:fldChar w:fldCharType="separate"/>
            </w:r>
            <w:r>
              <w:rPr>
                <w:noProof/>
                <w:webHidden/>
              </w:rPr>
              <w:t>25</w:t>
            </w:r>
            <w:r>
              <w:rPr>
                <w:noProof/>
                <w:webHidden/>
              </w:rPr>
              <w:fldChar w:fldCharType="end"/>
            </w:r>
          </w:hyperlink>
        </w:p>
        <w:p w14:paraId="4A7754D1" w14:textId="36496E50" w:rsidR="00F238F7" w:rsidRDefault="00F238F7">
          <w:pPr>
            <w:pStyle w:val="TOC2"/>
            <w:tabs>
              <w:tab w:val="right" w:leader="dot" w:pos="9350"/>
            </w:tabs>
            <w:rPr>
              <w:rFonts w:eastAsiaTheme="minorEastAsia" w:cstheme="minorBidi"/>
              <w:b w:val="0"/>
              <w:bCs w:val="0"/>
              <w:noProof/>
              <w:sz w:val="24"/>
              <w:szCs w:val="24"/>
            </w:rPr>
          </w:pPr>
          <w:hyperlink w:anchor="_Toc57130466" w:history="1">
            <w:r w:rsidRPr="00793C51">
              <w:rPr>
                <w:rStyle w:val="Hyperlink"/>
                <w:rFonts w:ascii="Times New Roman" w:hAnsi="Times New Roman" w:cs="Times New Roman"/>
                <w:noProof/>
              </w:rPr>
              <w:t>6.6 Experiment with Model CatBoost Classifier</w:t>
            </w:r>
            <w:r>
              <w:rPr>
                <w:noProof/>
                <w:webHidden/>
              </w:rPr>
              <w:tab/>
            </w:r>
            <w:r>
              <w:rPr>
                <w:noProof/>
                <w:webHidden/>
              </w:rPr>
              <w:fldChar w:fldCharType="begin"/>
            </w:r>
            <w:r>
              <w:rPr>
                <w:noProof/>
                <w:webHidden/>
              </w:rPr>
              <w:instrText xml:space="preserve"> PAGEREF _Toc57130466 \h </w:instrText>
            </w:r>
            <w:r>
              <w:rPr>
                <w:noProof/>
                <w:webHidden/>
              </w:rPr>
            </w:r>
            <w:r>
              <w:rPr>
                <w:noProof/>
                <w:webHidden/>
              </w:rPr>
              <w:fldChar w:fldCharType="separate"/>
            </w:r>
            <w:r>
              <w:rPr>
                <w:noProof/>
                <w:webHidden/>
              </w:rPr>
              <w:t>27</w:t>
            </w:r>
            <w:r>
              <w:rPr>
                <w:noProof/>
                <w:webHidden/>
              </w:rPr>
              <w:fldChar w:fldCharType="end"/>
            </w:r>
          </w:hyperlink>
        </w:p>
        <w:p w14:paraId="5EFDBBFA" w14:textId="0DD09403" w:rsidR="00F238F7" w:rsidRDefault="00F238F7">
          <w:pPr>
            <w:pStyle w:val="TOC1"/>
            <w:tabs>
              <w:tab w:val="right" w:leader="dot" w:pos="9350"/>
            </w:tabs>
            <w:rPr>
              <w:rFonts w:eastAsiaTheme="minorEastAsia" w:cstheme="minorBidi"/>
              <w:b w:val="0"/>
              <w:bCs w:val="0"/>
              <w:i w:val="0"/>
              <w:iCs w:val="0"/>
              <w:noProof/>
            </w:rPr>
          </w:pPr>
          <w:hyperlink w:anchor="_Toc57130467" w:history="1">
            <w:r w:rsidRPr="00793C51">
              <w:rPr>
                <w:rStyle w:val="Hyperlink"/>
                <w:rFonts w:ascii="Times New Roman" w:hAnsi="Times New Roman" w:cs="Times New Roman"/>
                <w:noProof/>
              </w:rPr>
              <w:t>7 Final Model Selection and Hyperparameters Tuning</w:t>
            </w:r>
            <w:r>
              <w:rPr>
                <w:noProof/>
                <w:webHidden/>
              </w:rPr>
              <w:tab/>
            </w:r>
            <w:r>
              <w:rPr>
                <w:noProof/>
                <w:webHidden/>
              </w:rPr>
              <w:fldChar w:fldCharType="begin"/>
            </w:r>
            <w:r>
              <w:rPr>
                <w:noProof/>
                <w:webHidden/>
              </w:rPr>
              <w:instrText xml:space="preserve"> PAGEREF _Toc57130467 \h </w:instrText>
            </w:r>
            <w:r>
              <w:rPr>
                <w:noProof/>
                <w:webHidden/>
              </w:rPr>
            </w:r>
            <w:r>
              <w:rPr>
                <w:noProof/>
                <w:webHidden/>
              </w:rPr>
              <w:fldChar w:fldCharType="separate"/>
            </w:r>
            <w:r>
              <w:rPr>
                <w:noProof/>
                <w:webHidden/>
              </w:rPr>
              <w:t>29</w:t>
            </w:r>
            <w:r>
              <w:rPr>
                <w:noProof/>
                <w:webHidden/>
              </w:rPr>
              <w:fldChar w:fldCharType="end"/>
            </w:r>
          </w:hyperlink>
        </w:p>
        <w:p w14:paraId="47214ECB" w14:textId="7985B06B" w:rsidR="00F238F7" w:rsidRDefault="00F238F7">
          <w:pPr>
            <w:pStyle w:val="TOC1"/>
            <w:tabs>
              <w:tab w:val="right" w:leader="dot" w:pos="9350"/>
            </w:tabs>
            <w:rPr>
              <w:rFonts w:eastAsiaTheme="minorEastAsia" w:cstheme="minorBidi"/>
              <w:b w:val="0"/>
              <w:bCs w:val="0"/>
              <w:i w:val="0"/>
              <w:iCs w:val="0"/>
              <w:noProof/>
            </w:rPr>
          </w:pPr>
          <w:hyperlink w:anchor="_Toc57130468" w:history="1">
            <w:r w:rsidRPr="00793C51">
              <w:rPr>
                <w:rStyle w:val="Hyperlink"/>
                <w:rFonts w:ascii="Times New Roman" w:hAnsi="Times New Roman" w:cs="Times New Roman"/>
                <w:noProof/>
              </w:rPr>
              <w:t>8 Conclusion</w:t>
            </w:r>
            <w:r>
              <w:rPr>
                <w:noProof/>
                <w:webHidden/>
              </w:rPr>
              <w:tab/>
            </w:r>
            <w:r>
              <w:rPr>
                <w:noProof/>
                <w:webHidden/>
              </w:rPr>
              <w:fldChar w:fldCharType="begin"/>
            </w:r>
            <w:r>
              <w:rPr>
                <w:noProof/>
                <w:webHidden/>
              </w:rPr>
              <w:instrText xml:space="preserve"> PAGEREF _Toc57130468 \h </w:instrText>
            </w:r>
            <w:r>
              <w:rPr>
                <w:noProof/>
                <w:webHidden/>
              </w:rPr>
            </w:r>
            <w:r>
              <w:rPr>
                <w:noProof/>
                <w:webHidden/>
              </w:rPr>
              <w:fldChar w:fldCharType="separate"/>
            </w:r>
            <w:r>
              <w:rPr>
                <w:noProof/>
                <w:webHidden/>
              </w:rPr>
              <w:t>32</w:t>
            </w:r>
            <w:r>
              <w:rPr>
                <w:noProof/>
                <w:webHidden/>
              </w:rPr>
              <w:fldChar w:fldCharType="end"/>
            </w:r>
          </w:hyperlink>
        </w:p>
        <w:p w14:paraId="63D8ADF1" w14:textId="301AD006" w:rsidR="00F238F7" w:rsidRDefault="00F238F7">
          <w:pPr>
            <w:pStyle w:val="TOC2"/>
            <w:tabs>
              <w:tab w:val="right" w:leader="dot" w:pos="9350"/>
            </w:tabs>
            <w:rPr>
              <w:rFonts w:eastAsiaTheme="minorEastAsia" w:cstheme="minorBidi"/>
              <w:b w:val="0"/>
              <w:bCs w:val="0"/>
              <w:noProof/>
              <w:sz w:val="24"/>
              <w:szCs w:val="24"/>
            </w:rPr>
          </w:pPr>
          <w:hyperlink w:anchor="_Toc57130469" w:history="1">
            <w:r w:rsidRPr="00793C51">
              <w:rPr>
                <w:rStyle w:val="Hyperlink"/>
                <w:rFonts w:ascii="Times New Roman" w:hAnsi="Times New Roman" w:cs="Times New Roman"/>
                <w:noProof/>
              </w:rPr>
              <w:t>8.1 Dataset</w:t>
            </w:r>
            <w:r>
              <w:rPr>
                <w:noProof/>
                <w:webHidden/>
              </w:rPr>
              <w:tab/>
            </w:r>
            <w:r>
              <w:rPr>
                <w:noProof/>
                <w:webHidden/>
              </w:rPr>
              <w:fldChar w:fldCharType="begin"/>
            </w:r>
            <w:r>
              <w:rPr>
                <w:noProof/>
                <w:webHidden/>
              </w:rPr>
              <w:instrText xml:space="preserve"> PAGEREF _Toc57130469 \h </w:instrText>
            </w:r>
            <w:r>
              <w:rPr>
                <w:noProof/>
                <w:webHidden/>
              </w:rPr>
            </w:r>
            <w:r>
              <w:rPr>
                <w:noProof/>
                <w:webHidden/>
              </w:rPr>
              <w:fldChar w:fldCharType="separate"/>
            </w:r>
            <w:r>
              <w:rPr>
                <w:noProof/>
                <w:webHidden/>
              </w:rPr>
              <w:t>32</w:t>
            </w:r>
            <w:r>
              <w:rPr>
                <w:noProof/>
                <w:webHidden/>
              </w:rPr>
              <w:fldChar w:fldCharType="end"/>
            </w:r>
          </w:hyperlink>
        </w:p>
        <w:p w14:paraId="0A95DB7C" w14:textId="7FD8855F" w:rsidR="00F238F7" w:rsidRDefault="00F238F7">
          <w:pPr>
            <w:pStyle w:val="TOC2"/>
            <w:tabs>
              <w:tab w:val="right" w:leader="dot" w:pos="9350"/>
            </w:tabs>
            <w:rPr>
              <w:rFonts w:eastAsiaTheme="minorEastAsia" w:cstheme="minorBidi"/>
              <w:b w:val="0"/>
              <w:bCs w:val="0"/>
              <w:noProof/>
              <w:sz w:val="24"/>
              <w:szCs w:val="24"/>
            </w:rPr>
          </w:pPr>
          <w:hyperlink w:anchor="_Toc57130470" w:history="1">
            <w:r w:rsidRPr="00793C51">
              <w:rPr>
                <w:rStyle w:val="Hyperlink"/>
                <w:rFonts w:ascii="Times New Roman" w:hAnsi="Times New Roman" w:cs="Times New Roman"/>
                <w:noProof/>
              </w:rPr>
              <w:t>8.2 Models</w:t>
            </w:r>
            <w:r>
              <w:rPr>
                <w:noProof/>
                <w:webHidden/>
              </w:rPr>
              <w:tab/>
            </w:r>
            <w:r>
              <w:rPr>
                <w:noProof/>
                <w:webHidden/>
              </w:rPr>
              <w:fldChar w:fldCharType="begin"/>
            </w:r>
            <w:r>
              <w:rPr>
                <w:noProof/>
                <w:webHidden/>
              </w:rPr>
              <w:instrText xml:space="preserve"> PAGEREF _Toc57130470 \h </w:instrText>
            </w:r>
            <w:r>
              <w:rPr>
                <w:noProof/>
                <w:webHidden/>
              </w:rPr>
            </w:r>
            <w:r>
              <w:rPr>
                <w:noProof/>
                <w:webHidden/>
              </w:rPr>
              <w:fldChar w:fldCharType="separate"/>
            </w:r>
            <w:r>
              <w:rPr>
                <w:noProof/>
                <w:webHidden/>
              </w:rPr>
              <w:t>32</w:t>
            </w:r>
            <w:r>
              <w:rPr>
                <w:noProof/>
                <w:webHidden/>
              </w:rPr>
              <w:fldChar w:fldCharType="end"/>
            </w:r>
          </w:hyperlink>
        </w:p>
        <w:p w14:paraId="3211CADC" w14:textId="3D7962C8" w:rsidR="00F238F7" w:rsidRDefault="00F238F7">
          <w:pPr>
            <w:pStyle w:val="TOC2"/>
            <w:tabs>
              <w:tab w:val="right" w:leader="dot" w:pos="9350"/>
            </w:tabs>
            <w:rPr>
              <w:rFonts w:eastAsiaTheme="minorEastAsia" w:cstheme="minorBidi"/>
              <w:b w:val="0"/>
              <w:bCs w:val="0"/>
              <w:noProof/>
              <w:sz w:val="24"/>
              <w:szCs w:val="24"/>
            </w:rPr>
          </w:pPr>
          <w:hyperlink w:anchor="_Toc57130471" w:history="1">
            <w:r w:rsidRPr="00793C51">
              <w:rPr>
                <w:rStyle w:val="Hyperlink"/>
                <w:rFonts w:ascii="Times New Roman" w:hAnsi="Times New Roman" w:cs="Times New Roman"/>
                <w:noProof/>
              </w:rPr>
              <w:t>8.3 Feature Work</w:t>
            </w:r>
            <w:r>
              <w:rPr>
                <w:noProof/>
                <w:webHidden/>
              </w:rPr>
              <w:tab/>
            </w:r>
            <w:r>
              <w:rPr>
                <w:noProof/>
                <w:webHidden/>
              </w:rPr>
              <w:fldChar w:fldCharType="begin"/>
            </w:r>
            <w:r>
              <w:rPr>
                <w:noProof/>
                <w:webHidden/>
              </w:rPr>
              <w:instrText xml:space="preserve"> PAGEREF _Toc57130471 \h </w:instrText>
            </w:r>
            <w:r>
              <w:rPr>
                <w:noProof/>
                <w:webHidden/>
              </w:rPr>
            </w:r>
            <w:r>
              <w:rPr>
                <w:noProof/>
                <w:webHidden/>
              </w:rPr>
              <w:fldChar w:fldCharType="separate"/>
            </w:r>
            <w:r>
              <w:rPr>
                <w:noProof/>
                <w:webHidden/>
              </w:rPr>
              <w:t>33</w:t>
            </w:r>
            <w:r>
              <w:rPr>
                <w:noProof/>
                <w:webHidden/>
              </w:rPr>
              <w:fldChar w:fldCharType="end"/>
            </w:r>
          </w:hyperlink>
        </w:p>
        <w:p w14:paraId="6FA03734" w14:textId="62CEB54C" w:rsidR="00F238F7" w:rsidRDefault="00F238F7">
          <w:pPr>
            <w:pStyle w:val="TOC1"/>
            <w:tabs>
              <w:tab w:val="right" w:leader="dot" w:pos="9350"/>
            </w:tabs>
            <w:rPr>
              <w:rFonts w:eastAsiaTheme="minorEastAsia" w:cstheme="minorBidi"/>
              <w:b w:val="0"/>
              <w:bCs w:val="0"/>
              <w:i w:val="0"/>
              <w:iCs w:val="0"/>
              <w:noProof/>
            </w:rPr>
          </w:pPr>
          <w:hyperlink w:anchor="_Toc57130472" w:history="1">
            <w:r w:rsidRPr="00793C5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_Toc57130472 \h </w:instrText>
            </w:r>
            <w:r>
              <w:rPr>
                <w:noProof/>
                <w:webHidden/>
              </w:rPr>
            </w:r>
            <w:r>
              <w:rPr>
                <w:noProof/>
                <w:webHidden/>
              </w:rPr>
              <w:fldChar w:fldCharType="separate"/>
            </w:r>
            <w:r>
              <w:rPr>
                <w:noProof/>
                <w:webHidden/>
              </w:rPr>
              <w:t>34</w:t>
            </w:r>
            <w:r>
              <w:rPr>
                <w:noProof/>
                <w:webHidden/>
              </w:rPr>
              <w:fldChar w:fldCharType="end"/>
            </w:r>
          </w:hyperlink>
        </w:p>
        <w:p w14:paraId="7072CB8F" w14:textId="1A0B0847" w:rsidR="00F238F7" w:rsidRDefault="00F238F7">
          <w:pPr>
            <w:pStyle w:val="TOC1"/>
            <w:tabs>
              <w:tab w:val="right" w:leader="dot" w:pos="9350"/>
            </w:tabs>
            <w:rPr>
              <w:rFonts w:eastAsiaTheme="minorEastAsia" w:cstheme="minorBidi"/>
              <w:b w:val="0"/>
              <w:bCs w:val="0"/>
              <w:i w:val="0"/>
              <w:iCs w:val="0"/>
              <w:noProof/>
            </w:rPr>
          </w:pPr>
          <w:hyperlink w:anchor="_Toc57130473" w:history="1">
            <w:r w:rsidRPr="00793C5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_Toc57130473 \h </w:instrText>
            </w:r>
            <w:r>
              <w:rPr>
                <w:noProof/>
                <w:webHidden/>
              </w:rPr>
            </w:r>
            <w:r>
              <w:rPr>
                <w:noProof/>
                <w:webHidden/>
              </w:rPr>
              <w:fldChar w:fldCharType="separate"/>
            </w:r>
            <w:r>
              <w:rPr>
                <w:noProof/>
                <w:webHidden/>
              </w:rPr>
              <w:t>35</w:t>
            </w:r>
            <w:r>
              <w:rPr>
                <w:noProof/>
                <w:webHidden/>
              </w:rPr>
              <w:fldChar w:fldCharType="end"/>
            </w:r>
          </w:hyperlink>
        </w:p>
        <w:p w14:paraId="749CA176" w14:textId="344949AF" w:rsidR="00F238F7" w:rsidRDefault="00F238F7">
          <w:r>
            <w:rPr>
              <w:b/>
              <w:bCs/>
              <w:noProof/>
            </w:rPr>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713044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361BC910"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analytics/data science. They want to expand their business to</w:t>
      </w:r>
      <w:r w:rsidR="00CB3EDB">
        <w:rPr>
          <w:color w:val="24292E"/>
        </w:rPr>
        <w:t xml:space="preserve"> include</w:t>
      </w:r>
      <w:r w:rsidR="5FDDB006" w:rsidRPr="00BB0A44">
        <w:rPr>
          <w:color w:val="24292E"/>
        </w:rPr>
        <w:t xml:space="preserve"> manpower recruitment (data science only)</w:t>
      </w:r>
      <w:r w:rsidR="008F26B1">
        <w:rPr>
          <w:color w:val="24292E"/>
        </w:rPr>
        <w:t>. They aim to do so</w:t>
      </w:r>
      <w:r w:rsidR="5FDDB006" w:rsidRPr="00BB0A44">
        <w:rPr>
          <w:color w:val="24292E"/>
        </w:rPr>
        <w:t xml:space="preserve"> by connecting their enrollees with their clients who are looking to hire employees working in the same domain. Before that</w:t>
      </w:r>
      <w:r w:rsidR="0079716A">
        <w:rPr>
          <w:color w:val="24292E"/>
        </w:rPr>
        <w:t xml:space="preserve"> </w:t>
      </w:r>
      <w:r w:rsidR="5FDDB006" w:rsidRPr="00BB0A44">
        <w:rPr>
          <w:color w:val="24292E"/>
        </w:rPr>
        <w:t>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w:t>
      </w:r>
      <w:r w:rsidR="0079716A">
        <w:rPr>
          <w:color w:val="24292E"/>
        </w:rPr>
        <w:t xml:space="preserve">, </w:t>
      </w:r>
      <w:r w:rsidR="5FDDB006" w:rsidRPr="00BB0A44">
        <w:rPr>
          <w:color w:val="24292E"/>
        </w:rPr>
        <w:t>d</w:t>
      </w:r>
      <w:r w:rsidR="0079716A">
        <w:rPr>
          <w:color w:val="24292E"/>
        </w:rPr>
        <w:t xml:space="preserve">emographics and </w:t>
      </w:r>
      <w:r w:rsidR="5FDDB006" w:rsidRPr="00BB0A44">
        <w:rPr>
          <w:color w:val="24292E"/>
        </w:rPr>
        <w:t>experience data they collected from the enrollee</w:t>
      </w:r>
      <w:r w:rsidR="0079716A">
        <w:rPr>
          <w:color w:val="24292E"/>
        </w:rPr>
        <w:t>s</w:t>
      </w:r>
      <w:r w:rsidR="5FDDB006" w:rsidRPr="00BB0A44">
        <w:rPr>
          <w:color w:val="24292E"/>
        </w:rPr>
        <w:t xml:space="preserve"> to predict the probability of them to look for a new job</w:t>
      </w:r>
      <w:r w:rsidR="00FE3B61" w:rsidRPr="00BB0A44">
        <w:rPr>
          <w:color w:val="24292E"/>
        </w:rPr>
        <w:t>. By identifying</w:t>
      </w:r>
      <w:r w:rsidR="0079716A">
        <w:rPr>
          <w:color w:val="24292E"/>
        </w:rPr>
        <w:t xml:space="preserve"> as many</w:t>
      </w:r>
      <w:r w:rsidR="00FE3B61" w:rsidRPr="00BB0A44">
        <w:rPr>
          <w:color w:val="24292E"/>
        </w:rPr>
        <w:t xml:space="preserve"> target enrolle</w:t>
      </w:r>
      <w:r w:rsidR="00392EB4" w:rsidRPr="00BB0A44">
        <w:rPr>
          <w:color w:val="24292E"/>
        </w:rPr>
        <w:t>e</w:t>
      </w:r>
      <w:r w:rsidR="0079716A">
        <w:rPr>
          <w:color w:val="24292E"/>
        </w:rPr>
        <w:t>s</w:t>
      </w:r>
      <w:r w:rsidR="00392EB4" w:rsidRPr="00BB0A44">
        <w:rPr>
          <w:color w:val="24292E"/>
        </w:rPr>
        <w:t xml:space="preserve"> (potential candidate</w:t>
      </w:r>
      <w:r w:rsidR="0079716A">
        <w:rPr>
          <w:color w:val="24292E"/>
        </w:rPr>
        <w:t>s</w:t>
      </w:r>
      <w:r w:rsidR="00392EB4" w:rsidRPr="00BB0A44">
        <w:rPr>
          <w:color w:val="24292E"/>
        </w:rPr>
        <w:t>)</w:t>
      </w:r>
      <w:r w:rsidR="0059588C" w:rsidRPr="00BB0A44">
        <w:rPr>
          <w:color w:val="24292E"/>
        </w:rPr>
        <w:t xml:space="preserve"> </w:t>
      </w:r>
      <w:r w:rsidR="002D56B1" w:rsidRPr="00BB0A44">
        <w:rPr>
          <w:color w:val="24292E"/>
        </w:rPr>
        <w:t xml:space="preserve">as possible </w:t>
      </w:r>
      <w:r w:rsidR="0059588C" w:rsidRPr="00BB0A44">
        <w:rPr>
          <w:color w:val="24292E"/>
        </w:rPr>
        <w:t xml:space="preserve">from all </w:t>
      </w:r>
      <w:r w:rsidR="00F941E4" w:rsidRPr="00BB0A44">
        <w:rPr>
          <w:color w:val="24292E"/>
        </w:rPr>
        <w:t>enrollee</w:t>
      </w:r>
      <w:r w:rsidR="0079716A">
        <w:rPr>
          <w:color w:val="24292E"/>
        </w:rPr>
        <w:t>s</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approach </w:t>
      </w:r>
      <w:r w:rsidR="003308C5" w:rsidRPr="00BB0A44">
        <w:rPr>
          <w:color w:val="24292E"/>
        </w:rPr>
        <w:t xml:space="preserve">to </w:t>
      </w:r>
      <w:r w:rsidR="00886E66" w:rsidRPr="00BB0A44">
        <w:rPr>
          <w:color w:val="24292E"/>
        </w:rPr>
        <w:t xml:space="preserve">their </w:t>
      </w:r>
      <w:r w:rsidR="00863B41">
        <w:rPr>
          <w:color w:val="24292E"/>
        </w:rPr>
        <w:t xml:space="preserve">targeted potential candidates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713044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7C0CEA8A"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r w:rsidR="004D24AC">
        <w:rPr>
          <w:rFonts w:eastAsia="Calibri"/>
          <w:color w:val="24292E"/>
        </w:rPr>
        <w:t xml:space="preserve"> to</w:t>
      </w:r>
      <w:r w:rsidR="003E6AC3" w:rsidRPr="00BB0A44">
        <w:rPr>
          <w:rFonts w:eastAsia="Calibri"/>
          <w:color w:val="24292E"/>
        </w:rPr>
        <w:t>:</w:t>
      </w:r>
    </w:p>
    <w:p w14:paraId="3EF2A244" w14:textId="6667C50D" w:rsidR="00D44297" w:rsidRPr="00BB0A44" w:rsidRDefault="004D24AC" w:rsidP="001971D2">
      <w:pPr>
        <w:numPr>
          <w:ilvl w:val="0"/>
          <w:numId w:val="2"/>
        </w:numPr>
        <w:rPr>
          <w:rFonts w:eastAsia="Calibri"/>
          <w:color w:val="24292E"/>
        </w:rPr>
      </w:pPr>
      <w:r>
        <w:rPr>
          <w:rFonts w:eastAsia="Calibri"/>
          <w:color w:val="24292E"/>
        </w:rPr>
        <w:t>E</w:t>
      </w:r>
      <w:r w:rsidR="00D44297" w:rsidRPr="00BB0A44">
        <w:rPr>
          <w:rFonts w:eastAsia="Calibri"/>
          <w:color w:val="24292E"/>
        </w:rPr>
        <w:t xml:space="preserve">xplore and analyze enrollee </w:t>
      </w:r>
      <w:r w:rsidR="00DA12F3" w:rsidRPr="00BB0A44">
        <w:rPr>
          <w:rFonts w:eastAsia="Calibri"/>
          <w:color w:val="24292E"/>
        </w:rPr>
        <w:t>data f</w:t>
      </w:r>
      <w:r w:rsidR="00B81E26" w:rsidRPr="00BB0A44">
        <w:rPr>
          <w:rFonts w:eastAsia="Calibri"/>
          <w:color w:val="24292E"/>
        </w:rPr>
        <w:t xml:space="preserve">or </w:t>
      </w:r>
      <w:r w:rsidR="00EB621E">
        <w:rPr>
          <w:rFonts w:eastAsia="Calibri"/>
          <w:color w:val="24292E"/>
        </w:rPr>
        <w:t xml:space="preserve">the </w:t>
      </w:r>
      <w:r w:rsidR="00337894" w:rsidRPr="00BB0A44">
        <w:rPr>
          <w:rFonts w:eastAsia="Calibri"/>
          <w:color w:val="24292E"/>
        </w:rPr>
        <w:t>XYZ</w:t>
      </w:r>
      <w:r w:rsidR="00B81E26" w:rsidRPr="00BB0A44">
        <w:rPr>
          <w:rFonts w:eastAsia="Calibri"/>
          <w:color w:val="24292E"/>
        </w:rPr>
        <w:t xml:space="preserve"> training institute </w:t>
      </w:r>
    </w:p>
    <w:p w14:paraId="4B644506" w14:textId="2200080D" w:rsidR="002953DA" w:rsidRPr="00BB0A44" w:rsidRDefault="004D24AC" w:rsidP="001971D2">
      <w:pPr>
        <w:numPr>
          <w:ilvl w:val="0"/>
          <w:numId w:val="2"/>
        </w:numPr>
        <w:rPr>
          <w:rFonts w:eastAsia="Calibri"/>
          <w:color w:val="24292E"/>
        </w:rPr>
      </w:pPr>
      <w:r>
        <w:rPr>
          <w:rFonts w:eastAsia="Calibri"/>
          <w:color w:val="24292E"/>
        </w:rPr>
        <w:t>I</w:t>
      </w:r>
      <w:r w:rsidR="00B81E26" w:rsidRPr="00BB0A44">
        <w:rPr>
          <w:rFonts w:eastAsia="Calibri"/>
          <w:color w:val="24292E"/>
        </w:rPr>
        <w:t>dentify</w:t>
      </w:r>
      <w:r w:rsidR="002953DA" w:rsidRPr="00BB0A44">
        <w:rPr>
          <w:rFonts w:eastAsia="Calibri"/>
          <w:color w:val="24292E"/>
        </w:rPr>
        <w:t xml:space="preserve"> the key features that lead enrollee</w:t>
      </w:r>
      <w:r w:rsidR="00BA65B7">
        <w:rPr>
          <w:rFonts w:eastAsia="Calibri"/>
          <w:color w:val="24292E"/>
        </w:rPr>
        <w:t>s</w:t>
      </w:r>
      <w:r w:rsidR="002953DA" w:rsidRPr="00BB0A44">
        <w:rPr>
          <w:rFonts w:eastAsia="Calibri"/>
          <w:color w:val="24292E"/>
        </w:rPr>
        <w:t xml:space="preserve"> to look for new employment</w:t>
      </w:r>
    </w:p>
    <w:p w14:paraId="5398E096" w14:textId="07C8E08F" w:rsidR="004E2D64" w:rsidRPr="00BB0A44" w:rsidRDefault="004D24AC" w:rsidP="001971D2">
      <w:pPr>
        <w:numPr>
          <w:ilvl w:val="0"/>
          <w:numId w:val="2"/>
        </w:numPr>
        <w:rPr>
          <w:rFonts w:eastAsia="Calibri"/>
          <w:color w:val="24292E"/>
        </w:rPr>
      </w:pPr>
      <w:r>
        <w:rPr>
          <w:rFonts w:eastAsia="Calibri"/>
          <w:color w:val="24292E"/>
        </w:rPr>
        <w:t>D</w:t>
      </w:r>
      <w:r w:rsidR="00F5494D" w:rsidRPr="00BB0A44">
        <w:rPr>
          <w:rFonts w:eastAsia="Calibri"/>
          <w:color w:val="24292E"/>
        </w:rPr>
        <w:t xml:space="preserve">evelop machine learning models </w:t>
      </w:r>
      <w:r w:rsidR="00894D8F" w:rsidRPr="00BB0A44">
        <w:rPr>
          <w:rFonts w:eastAsia="Calibri"/>
          <w:color w:val="24292E"/>
        </w:rPr>
        <w:t>that predict the probability of</w:t>
      </w:r>
      <w:r w:rsidR="00666BFD">
        <w:rPr>
          <w:rFonts w:eastAsia="Calibri"/>
          <w:color w:val="24292E"/>
        </w:rPr>
        <w:t xml:space="preserve"> </w:t>
      </w:r>
      <w:r w:rsidR="007C7633" w:rsidRPr="00BB0A44">
        <w:rPr>
          <w:rFonts w:eastAsia="Calibri"/>
          <w:color w:val="24292E"/>
        </w:rPr>
        <w:t>enrollee</w:t>
      </w:r>
      <w:r w:rsidR="00BA65B7">
        <w:rPr>
          <w:rFonts w:eastAsia="Calibri"/>
          <w:color w:val="24292E"/>
        </w:rPr>
        <w:t>s</w:t>
      </w:r>
      <w:r w:rsidR="001A2044" w:rsidRPr="00BB0A44">
        <w:rPr>
          <w:rFonts w:eastAsia="Calibri"/>
          <w:color w:val="24292E"/>
        </w:rPr>
        <w:t xml:space="preserve"> </w:t>
      </w:r>
      <w:r w:rsidR="00271BC3" w:rsidRPr="00BB0A44">
        <w:rPr>
          <w:rFonts w:eastAsia="Calibri"/>
          <w:color w:val="24292E"/>
        </w:rPr>
        <w:t>looking for new job</w:t>
      </w:r>
      <w:r w:rsidR="00BA65B7">
        <w:rPr>
          <w:rFonts w:eastAsia="Calibri"/>
          <w:color w:val="24292E"/>
        </w:rPr>
        <w:t>s</w:t>
      </w:r>
    </w:p>
    <w:p w14:paraId="1518D31D" w14:textId="4B9804E1" w:rsidR="004A3755" w:rsidRDefault="004D24AC" w:rsidP="000D7337">
      <w:pPr>
        <w:numPr>
          <w:ilvl w:val="0"/>
          <w:numId w:val="2"/>
        </w:numPr>
        <w:rPr>
          <w:rFonts w:eastAsia="Calibri"/>
          <w:color w:val="24292E"/>
        </w:rPr>
      </w:pPr>
      <w:r w:rsidRPr="00BA65B7">
        <w:rPr>
          <w:rFonts w:eastAsia="Calibri"/>
          <w:color w:val="24292E"/>
        </w:rPr>
        <w:t>I</w:t>
      </w:r>
      <w:r w:rsidR="004E2D64" w:rsidRPr="00BA65B7">
        <w:rPr>
          <w:rFonts w:eastAsia="Calibri"/>
          <w:color w:val="24292E"/>
        </w:rPr>
        <w:t xml:space="preserve">dentify the </w:t>
      </w:r>
      <w:r w:rsidR="00103FAA" w:rsidRPr="00BA65B7">
        <w:rPr>
          <w:rFonts w:eastAsia="Calibri"/>
          <w:color w:val="24292E"/>
        </w:rPr>
        <w:t xml:space="preserve">final model </w:t>
      </w:r>
      <w:r w:rsidR="00807DB5" w:rsidRPr="00BA65B7">
        <w:rPr>
          <w:rFonts w:eastAsia="Calibri"/>
          <w:color w:val="24292E"/>
        </w:rPr>
        <w:t>that capture</w:t>
      </w:r>
      <w:r w:rsidR="002B5214" w:rsidRPr="00BA65B7">
        <w:rPr>
          <w:rFonts w:eastAsia="Calibri"/>
          <w:color w:val="24292E"/>
        </w:rPr>
        <w:t>s</w:t>
      </w:r>
      <w:r w:rsidR="00807DB5" w:rsidRPr="00BA65B7">
        <w:rPr>
          <w:rFonts w:eastAsia="Calibri"/>
          <w:color w:val="24292E"/>
        </w:rPr>
        <w:t xml:space="preserve"> the most </w:t>
      </w:r>
      <w:r w:rsidR="002A54C3" w:rsidRPr="00BA65B7">
        <w:rPr>
          <w:rFonts w:eastAsia="Calibri"/>
          <w:color w:val="24292E"/>
        </w:rPr>
        <w:t>target enrollee</w:t>
      </w:r>
      <w:r w:rsidR="00E97CE8" w:rsidRPr="00BA65B7">
        <w:rPr>
          <w:rFonts w:eastAsia="Calibri"/>
          <w:color w:val="24292E"/>
        </w:rPr>
        <w:t xml:space="preserve">s </w:t>
      </w:r>
      <w:r w:rsidR="00BB2B66" w:rsidRPr="00BA65B7">
        <w:rPr>
          <w:rFonts w:eastAsia="Calibri"/>
          <w:color w:val="24292E"/>
        </w:rPr>
        <w:t>within the top 20%</w:t>
      </w:r>
      <w:r w:rsidR="00BA65B7" w:rsidRPr="00BA65B7">
        <w:rPr>
          <w:rFonts w:eastAsia="Calibri"/>
          <w:color w:val="24292E"/>
        </w:rPr>
        <w:t xml:space="preserve"> and </w:t>
      </w:r>
      <w:r w:rsidR="006B574B" w:rsidRPr="00BA65B7">
        <w:rPr>
          <w:rFonts w:eastAsia="Calibri"/>
          <w:color w:val="24292E"/>
        </w:rPr>
        <w:t xml:space="preserve">top 50% </w:t>
      </w:r>
      <w:r w:rsidR="00BB2B66" w:rsidRPr="00BA65B7">
        <w:rPr>
          <w:rFonts w:eastAsia="Calibri"/>
          <w:color w:val="24292E"/>
        </w:rPr>
        <w:t xml:space="preserve">of the test dataset </w:t>
      </w:r>
      <w:r w:rsidR="00BA65B7" w:rsidRPr="00BA65B7">
        <w:rPr>
          <w:rFonts w:eastAsia="Calibri"/>
          <w:color w:val="24292E"/>
        </w:rPr>
        <w:t xml:space="preserve">in descending </w:t>
      </w:r>
      <w:r w:rsidR="00D371AF" w:rsidRPr="00BA65B7">
        <w:rPr>
          <w:rFonts w:eastAsia="Calibri"/>
          <w:color w:val="24292E"/>
        </w:rPr>
        <w:t>order by th</w:t>
      </w:r>
      <w:r w:rsidR="00133F64" w:rsidRPr="00BA65B7">
        <w:rPr>
          <w:rFonts w:eastAsia="Calibri"/>
          <w:color w:val="24292E"/>
        </w:rPr>
        <w:t xml:space="preserve">eir </w:t>
      </w:r>
      <w:r w:rsidR="006B574B" w:rsidRPr="00BA65B7">
        <w:rPr>
          <w:rFonts w:eastAsia="Calibri"/>
          <w:color w:val="24292E"/>
        </w:rPr>
        <w:t>prediction scores</w:t>
      </w:r>
    </w:p>
    <w:p w14:paraId="07880674" w14:textId="77777777" w:rsidR="00BA65B7" w:rsidRPr="00BA65B7" w:rsidRDefault="00BA65B7" w:rsidP="00BA65B7">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5B6E1B9F"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p>
    <w:p w14:paraId="5594A54A" w14:textId="72DC3EED"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w:t>
      </w:r>
      <w:r w:rsidR="00CD1D7F">
        <w:rPr>
          <w:rFonts w:ascii="Times New Roman" w:eastAsia="Calibri" w:hAnsi="Times New Roman" w:cs="Times New Roman"/>
          <w:color w:val="24292E"/>
          <w:sz w:val="24"/>
          <w:szCs w:val="24"/>
        </w:rPr>
        <w:t>I</w:t>
      </w:r>
      <w:r>
        <w:rPr>
          <w:rFonts w:ascii="Times New Roman" w:eastAsia="Calibri" w:hAnsi="Times New Roman" w:cs="Times New Roman"/>
          <w:color w:val="24292E"/>
          <w:sz w:val="24"/>
          <w:szCs w:val="24"/>
        </w:rPr>
        <w:t xml:space="preserve">ntroduction </w:t>
      </w:r>
    </w:p>
    <w:p w14:paraId="2997BD88" w14:textId="3B88E020"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xml:space="preserve">: Data </w:t>
      </w:r>
      <w:r w:rsidR="00CD1D7F">
        <w:rPr>
          <w:rFonts w:ascii="Times New Roman" w:eastAsia="Calibri" w:hAnsi="Times New Roman" w:cs="Times New Roman"/>
          <w:color w:val="24292E"/>
          <w:sz w:val="24"/>
          <w:szCs w:val="24"/>
        </w:rPr>
        <w:t>W</w:t>
      </w:r>
      <w:r w:rsidRPr="00FD543A">
        <w:rPr>
          <w:rFonts w:ascii="Times New Roman" w:eastAsia="Calibri" w:hAnsi="Times New Roman" w:cs="Times New Roman"/>
          <w:color w:val="24292E"/>
          <w:sz w:val="24"/>
          <w:szCs w:val="24"/>
        </w:rPr>
        <w:t xml:space="preserve">rangling </w:t>
      </w:r>
    </w:p>
    <w:p w14:paraId="085FB746" w14:textId="184957EB"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Exploratory Data Analysis</w:t>
      </w:r>
    </w:p>
    <w:p w14:paraId="11B9CCE7" w14:textId="7C179D81"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 xml:space="preserve">Machine </w:t>
      </w:r>
      <w:r w:rsidR="00CD1D7F">
        <w:rPr>
          <w:rFonts w:ascii="Times New Roman" w:eastAsia="Calibri" w:hAnsi="Times New Roman" w:cs="Times New Roman"/>
          <w:color w:val="24292E"/>
          <w:sz w:val="24"/>
          <w:szCs w:val="24"/>
        </w:rPr>
        <w:t>L</w:t>
      </w:r>
      <w:r w:rsidR="00E3685A" w:rsidRPr="00FD543A">
        <w:rPr>
          <w:rFonts w:ascii="Times New Roman" w:eastAsia="Calibri" w:hAnsi="Times New Roman" w:cs="Times New Roman"/>
          <w:color w:val="24292E"/>
          <w:sz w:val="24"/>
          <w:szCs w:val="24"/>
        </w:rPr>
        <w:t>earnin</w:t>
      </w:r>
      <w:r w:rsidR="00CD1D7F">
        <w:rPr>
          <w:rFonts w:ascii="Times New Roman" w:eastAsia="Calibri" w:hAnsi="Times New Roman" w:cs="Times New Roman"/>
          <w:color w:val="24292E"/>
          <w:sz w:val="24"/>
          <w:szCs w:val="24"/>
        </w:rPr>
        <w:t>g</w:t>
      </w:r>
    </w:p>
    <w:p w14:paraId="1C2A1DAB" w14:textId="5895750E"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xml:space="preserve">: </w:t>
      </w:r>
      <w:r w:rsidR="00CD1D7F">
        <w:rPr>
          <w:rFonts w:ascii="Times New Roman" w:eastAsia="Calibri" w:hAnsi="Times New Roman" w:cs="Times New Roman"/>
          <w:color w:val="24292E"/>
          <w:sz w:val="24"/>
          <w:szCs w:val="24"/>
        </w:rPr>
        <w:t xml:space="preserve">Final Model Selection and </w:t>
      </w:r>
      <w:r w:rsidRPr="00FD543A">
        <w:rPr>
          <w:rFonts w:ascii="Times New Roman" w:eastAsia="Calibri" w:hAnsi="Times New Roman" w:cs="Times New Roman"/>
          <w:color w:val="24292E"/>
          <w:sz w:val="24"/>
          <w:szCs w:val="24"/>
        </w:rPr>
        <w:t>Hyper</w:t>
      </w:r>
      <w:r w:rsidR="00CD1D7F">
        <w:rPr>
          <w:rFonts w:ascii="Times New Roman" w:eastAsia="Calibri" w:hAnsi="Times New Roman" w:cs="Times New Roman"/>
          <w:color w:val="24292E"/>
          <w:sz w:val="24"/>
          <w:szCs w:val="24"/>
        </w:rPr>
        <w:t>p</w:t>
      </w:r>
      <w:r w:rsidR="0061716C" w:rsidRPr="00FD543A">
        <w:rPr>
          <w:rFonts w:ascii="Times New Roman" w:eastAsia="Calibri" w:hAnsi="Times New Roman" w:cs="Times New Roman"/>
          <w:color w:val="24292E"/>
          <w:sz w:val="24"/>
          <w:szCs w:val="24"/>
        </w:rPr>
        <w:t xml:space="preserve">arameters </w:t>
      </w:r>
      <w:r w:rsidR="00CD1D7F">
        <w:rPr>
          <w:rFonts w:ascii="Times New Roman" w:eastAsia="Calibri" w:hAnsi="Times New Roman" w:cs="Times New Roman"/>
          <w:color w:val="24292E"/>
          <w:sz w:val="24"/>
          <w:szCs w:val="24"/>
        </w:rPr>
        <w:t>T</w:t>
      </w:r>
      <w:r w:rsidR="0061716C" w:rsidRPr="00FD543A">
        <w:rPr>
          <w:rFonts w:ascii="Times New Roman" w:eastAsia="Calibri" w:hAnsi="Times New Roman" w:cs="Times New Roman"/>
          <w:color w:val="24292E"/>
          <w:sz w:val="24"/>
          <w:szCs w:val="24"/>
        </w:rPr>
        <w:t xml:space="preserve">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713044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 xml:space="preserve">We will also develop machine learning models that can be </w:t>
      </w:r>
      <w:r w:rsidR="009062BE" w:rsidRPr="00BB0A44">
        <w:lastRenderedPageBreak/>
        <w:t>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4B707C29" w14:textId="4E1EAAD7" w:rsidR="00C26EE5" w:rsidRPr="00BB0A44" w:rsidRDefault="29CD8A3F" w:rsidP="007B77B5">
      <w:pPr>
        <w:pStyle w:val="Heading1"/>
        <w:rPr>
          <w:rFonts w:ascii="Times New Roman" w:hAnsi="Times New Roman" w:cs="Times New Roman"/>
        </w:rPr>
      </w:pPr>
      <w:bookmarkStart w:id="10" w:name="_Toc5713044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713044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1239298F"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credentials/d</w:t>
      </w:r>
      <w:r w:rsidR="0079716A">
        <w:rPr>
          <w:color w:val="24292E"/>
        </w:rPr>
        <w:t>emographics</w:t>
      </w:r>
      <w:r w:rsidR="00290AA9" w:rsidRPr="00FD543A">
        <w:rPr>
          <w:color w:val="24292E"/>
        </w:rPr>
        <w:t xml:space="preserve">/experience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04EEF99" w:rsidR="002D086E" w:rsidRPr="00A612F6" w:rsidRDefault="002D086E" w:rsidP="00F90C05">
      <w:pPr>
        <w:rPr>
          <w:i/>
          <w:iCs/>
        </w:rPr>
      </w:pPr>
      <w:r w:rsidRPr="00A612F6">
        <w:rPr>
          <w:i/>
          <w:iCs/>
          <w:color w:val="24292E"/>
        </w:rPr>
        <w:t xml:space="preserve">Table </w:t>
      </w:r>
      <w:r w:rsidR="00B60EB0" w:rsidRPr="00A612F6">
        <w:rPr>
          <w:i/>
          <w:iCs/>
          <w:color w:val="24292E"/>
        </w:rPr>
        <w:t xml:space="preserve">1.1 </w:t>
      </w:r>
      <w:r w:rsidRPr="00A612F6">
        <w:rPr>
          <w:i/>
          <w:iCs/>
          <w:color w:val="24292E"/>
        </w:rPr>
        <w:t>Description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79774D58" w14:textId="77777777" w:rsidR="007007BE" w:rsidRPr="007007BE" w:rsidRDefault="007007BE" w:rsidP="007007BE">
      <w:pPr>
        <w:rPr>
          <w:lang w:eastAsia="en-US"/>
        </w:rPr>
      </w:pPr>
    </w:p>
    <w:p w14:paraId="4E45F1E0" w14:textId="1EDE4A10" w:rsidR="00376C38" w:rsidRPr="00BB0A44" w:rsidRDefault="00376C38" w:rsidP="00376C38">
      <w:pPr>
        <w:pStyle w:val="Heading2"/>
        <w:rPr>
          <w:rFonts w:ascii="Times New Roman" w:hAnsi="Times New Roman" w:cs="Times New Roman"/>
        </w:rPr>
      </w:pPr>
      <w:bookmarkStart w:id="16" w:name="_Toc5713044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72949ACF" w:rsidR="001D7126" w:rsidRPr="00BB0A44" w:rsidRDefault="00A84105" w:rsidP="005305CB">
      <w:r>
        <w:t xml:space="preserve">  </w:t>
      </w:r>
      <w:r w:rsidR="006B60CF" w:rsidRPr="00BB0A44">
        <w:t>We can see there is an approximately 6:1 ratio of non-Target</w:t>
      </w:r>
      <w:r w:rsidR="00693A94">
        <w:t xml:space="preserve"> enrollee</w:t>
      </w:r>
      <w:r w:rsidR="00DF2193">
        <w:t>s</w:t>
      </w:r>
      <w:r w:rsidR="006B60CF" w:rsidRPr="00BB0A44">
        <w:t xml:space="preserve"> to Target</w:t>
      </w:r>
      <w:r w:rsidR="00693A94">
        <w:t xml:space="preserve"> enrollee</w:t>
      </w:r>
      <w:r w:rsidR="00DF2193">
        <w:t>s</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4FF4A1E0" w:rsidR="00F2417A" w:rsidRDefault="00F2417A" w:rsidP="005305CB"/>
    <w:p w14:paraId="76F2F70C" w14:textId="61FC7E0B" w:rsidR="0039333C" w:rsidRDefault="0039333C" w:rsidP="005305CB"/>
    <w:p w14:paraId="2E7C6169" w14:textId="74B1C4D2" w:rsidR="0039333C" w:rsidRDefault="0039333C" w:rsidP="005305CB"/>
    <w:p w14:paraId="62D897A9" w14:textId="77777777" w:rsidR="0039333C" w:rsidRPr="00BB0A44" w:rsidRDefault="0039333C" w:rsidP="005305CB"/>
    <w:p w14:paraId="2E3730E3" w14:textId="2FCE136D" w:rsidR="0039333C" w:rsidRDefault="0039333C" w:rsidP="0039333C">
      <w:r>
        <w:rPr>
          <w:i/>
          <w:iCs/>
          <w:noProof/>
        </w:rPr>
        <w:lastRenderedPageBreak/>
        <w:drawing>
          <wp:inline distT="0" distB="0" distL="0" distR="0" wp14:anchorId="6EA43FF9" wp14:editId="52CA23D9">
            <wp:extent cx="5435600" cy="2235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235200"/>
                    </a:xfrm>
                    <a:prstGeom prst="rect">
                      <a:avLst/>
                    </a:prstGeom>
                    <a:noFill/>
                    <a:ln>
                      <a:noFill/>
                    </a:ln>
                  </pic:spPr>
                </pic:pic>
              </a:graphicData>
            </a:graphic>
          </wp:inline>
        </w:drawing>
      </w:r>
    </w:p>
    <w:p w14:paraId="72BA8A9C" w14:textId="7EF60EBB" w:rsidR="009562BB" w:rsidRPr="00202347"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w:t>
      </w:r>
      <w:r w:rsidR="009E47DA">
        <w:rPr>
          <w:i/>
          <w:iCs/>
        </w:rPr>
        <w:t xml:space="preserve"> 2</w:t>
      </w:r>
      <w:r w:rsidR="004226D2">
        <w:rPr>
          <w:i/>
          <w:iCs/>
        </w:rPr>
        <w:t xml:space="preserve"> component</w:t>
      </w:r>
      <w:r w:rsidR="009E47DA">
        <w:rPr>
          <w:i/>
          <w:iCs/>
        </w:rPr>
        <w:t>s</w:t>
      </w:r>
      <w:r w:rsidR="00202347">
        <w:t xml:space="preserve"> </w:t>
      </w:r>
      <w:r w:rsidR="009562BB">
        <w:rPr>
          <w:i/>
          <w:iCs/>
          <w:color w:val="FF0000"/>
          <w:sz w:val="20"/>
          <w:szCs w:val="20"/>
        </w:rPr>
        <w:t>*categorical variables were converted to numerical in this plot.</w:t>
      </w:r>
    </w:p>
    <w:p w14:paraId="64FC5577" w14:textId="77777777" w:rsidR="007F14F0" w:rsidRDefault="007F14F0" w:rsidP="005305CB">
      <w:pPr>
        <w:rPr>
          <w:i/>
          <w:iCs/>
        </w:rPr>
      </w:pPr>
    </w:p>
    <w:p w14:paraId="0767422A" w14:textId="77777777" w:rsidR="007F14F0" w:rsidRDefault="007F14F0" w:rsidP="005305CB">
      <w:pPr>
        <w:rPr>
          <w:i/>
          <w:iCs/>
        </w:rPr>
      </w:pPr>
    </w:p>
    <w:p w14:paraId="7B43F90B" w14:textId="0EF45A6D" w:rsidR="00B60EB0" w:rsidRDefault="007F14F0" w:rsidP="005305CB">
      <w:r>
        <w:rPr>
          <w:i/>
          <w:iCs/>
        </w:rP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713044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713044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713044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5F4CF8C6" w:rsidR="003903CE" w:rsidRPr="00E02A4E" w:rsidRDefault="00444D9F" w:rsidP="00567782">
      <w:pPr>
        <w:rPr>
          <w:sz w:val="18"/>
          <w:szCs w:val="18"/>
          <w:lang w:eastAsia="en-US"/>
        </w:rPr>
      </w:pPr>
      <w:r w:rsidRPr="00E02A4E">
        <w:rPr>
          <w:sz w:val="18"/>
          <w:szCs w:val="18"/>
          <w:lang w:eastAsia="en-US"/>
        </w:rPr>
        <w:t>*</w:t>
      </w:r>
      <w:r w:rsidR="00476D05" w:rsidRPr="00E02A4E">
        <w:rPr>
          <w:sz w:val="18"/>
          <w:szCs w:val="18"/>
          <w:lang w:eastAsia="en-US"/>
        </w:rPr>
        <w:t xml:space="preserve">variable that has missing value percentage higher than 20% is highlighted in </w:t>
      </w:r>
      <w:r w:rsidR="00476D05" w:rsidRPr="0037041E">
        <w:rPr>
          <w:sz w:val="18"/>
          <w:szCs w:val="18"/>
          <w:highlight w:val="yellow"/>
          <w:lang w:eastAsia="en-US"/>
        </w:rPr>
        <w:t>yellow</w:t>
      </w: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713045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713045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713045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713045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5875E537" w14:textId="70771CF3" w:rsidR="00E310EE" w:rsidRDefault="00E310EE" w:rsidP="00E310EE"/>
    <w:p w14:paraId="68A9D694" w14:textId="0BABAE7A" w:rsidR="00B0007A" w:rsidRDefault="00B0007A" w:rsidP="00B0007A">
      <w:r>
        <w:rPr>
          <w:noProof/>
        </w:rPr>
        <w:drawing>
          <wp:inline distT="0" distB="0" distL="0" distR="0" wp14:anchorId="445E171F" wp14:editId="09A45CAE">
            <wp:extent cx="6318514" cy="3135630"/>
            <wp:effectExtent l="0" t="0" r="6350" b="127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009" cy="3139350"/>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4F539ED9" w14:textId="043789AC" w:rsidR="000B2ABD" w:rsidRDefault="00E145BB" w:rsidP="00B0007A">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713045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6C3559" w:rsidRDefault="00CD5023" w:rsidP="00CD5023">
            <w:pPr>
              <w:rPr>
                <w:color w:val="000000"/>
                <w:sz w:val="21"/>
                <w:szCs w:val="21"/>
              </w:rPr>
            </w:pPr>
            <w:r w:rsidRPr="006C3559">
              <w:rPr>
                <w:color w:val="000000"/>
                <w:sz w:val="21"/>
                <w:szCs w:val="21"/>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713045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6CCA5D6" w14:textId="554739D8" w:rsidR="0019151D"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C276D">
        <w:rPr>
          <w:color w:val="000000" w:themeColor="text1"/>
        </w:rPr>
        <w:t>ranges</w:t>
      </w:r>
      <w:r w:rsidR="00091E52" w:rsidRPr="00E62FC6">
        <w:rPr>
          <w:color w:val="000000" w:themeColor="text1"/>
        </w:rPr>
        <w:t xml:space="preserve"> </w:t>
      </w:r>
      <w:r w:rsidR="0019151D" w:rsidRPr="00E62FC6">
        <w:rPr>
          <w:color w:val="000000" w:themeColor="text1"/>
        </w:rPr>
        <w:t>0.9</w:t>
      </w:r>
      <w:r w:rsidR="000C276D">
        <w:rPr>
          <w:color w:val="000000" w:themeColor="text1"/>
        </w:rPr>
        <w:t>1</w:t>
      </w:r>
      <w:r w:rsidR="006833E3">
        <w:rPr>
          <w:color w:val="000000" w:themeColor="text1"/>
        </w:rPr>
        <w:t>0</w:t>
      </w:r>
      <w:r w:rsidR="000C276D">
        <w:rPr>
          <w:color w:val="000000" w:themeColor="text1"/>
        </w:rPr>
        <w:t xml:space="preserve"> ~ 0.920</w:t>
      </w:r>
      <w:r w:rsidR="0019151D" w:rsidRPr="00E62FC6">
        <w:rPr>
          <w:color w:val="000000" w:themeColor="text1"/>
        </w:rPr>
        <w:t xml:space="preserve"> </w:t>
      </w:r>
      <w:r w:rsidR="00116482" w:rsidRPr="00E62FC6">
        <w:rPr>
          <w:color w:val="000000" w:themeColor="text1"/>
        </w:rPr>
        <w:t>(</w:t>
      </w:r>
      <w:r w:rsidR="00DA5741">
        <w:rPr>
          <w:color w:val="000000" w:themeColor="text1"/>
        </w:rPr>
        <w:t xml:space="preserve">city_16, </w:t>
      </w:r>
      <w:r w:rsidR="00116482" w:rsidRPr="00E62FC6">
        <w:rPr>
          <w:color w:val="000000" w:themeColor="text1"/>
        </w:rPr>
        <w:t>city_103</w:t>
      </w:r>
      <w:r w:rsidR="00DA5741">
        <w:rPr>
          <w:color w:val="000000" w:themeColor="text1"/>
        </w:rPr>
        <w:t xml:space="preserve">, </w:t>
      </w:r>
      <w:r w:rsidR="00116482" w:rsidRPr="00E62FC6">
        <w:rPr>
          <w:color w:val="000000" w:themeColor="text1"/>
        </w:rPr>
        <w:t>city_160</w:t>
      </w:r>
      <w:r w:rsidR="008E654C">
        <w:rPr>
          <w:color w:val="000000" w:themeColor="text1"/>
        </w:rPr>
        <w:t>)</w:t>
      </w:r>
      <w:r w:rsidR="00116482" w:rsidRPr="00E62FC6">
        <w:rPr>
          <w:color w:val="000000" w:themeColor="text1"/>
        </w:rPr>
        <w:t>.</w:t>
      </w:r>
      <w:r w:rsidR="008E654C">
        <w:rPr>
          <w:color w:val="000000" w:themeColor="text1"/>
        </w:rPr>
        <w:t xml:space="preserve"> </w:t>
      </w:r>
      <w:r w:rsidR="001F65A0">
        <w:rPr>
          <w:color w:val="000000" w:themeColor="text1"/>
        </w:rPr>
        <w:t xml:space="preserve">For Target enrollee the second peak located at </w:t>
      </w:r>
      <w:proofErr w:type="spellStart"/>
      <w:r w:rsidR="001F65A0" w:rsidRPr="00E62FC6">
        <w:rPr>
          <w:color w:val="000000" w:themeColor="text1"/>
        </w:rPr>
        <w:t>city_development_index</w:t>
      </w:r>
      <w:proofErr w:type="spellEnd"/>
      <w:r w:rsidR="001F65A0" w:rsidRPr="00E62FC6">
        <w:rPr>
          <w:color w:val="000000" w:themeColor="text1"/>
        </w:rPr>
        <w:t xml:space="preserve"> </w:t>
      </w:r>
      <w:r w:rsidR="001F65A0">
        <w:rPr>
          <w:color w:val="000000" w:themeColor="text1"/>
        </w:rPr>
        <w:t xml:space="preserve">equals to 0.624 (city_21). </w:t>
      </w:r>
      <w:r w:rsidR="00091E52" w:rsidRPr="00E62FC6">
        <w:rPr>
          <w:color w:val="000000" w:themeColor="text1"/>
        </w:rPr>
        <w:t>This would explain why o</w:t>
      </w:r>
      <w:r w:rsidR="00F15811" w:rsidRPr="00E62FC6">
        <w:rPr>
          <w:color w:val="000000" w:themeColor="text1"/>
        </w:rPr>
        <w:t>ut of</w:t>
      </w:r>
      <w:r w:rsidR="00245C4D">
        <w:rPr>
          <w:color w:val="000000" w:themeColor="text1"/>
        </w:rPr>
        <w:t xml:space="preserve"> </w:t>
      </w:r>
      <w:r w:rsidR="00F15811" w:rsidRPr="00E62FC6">
        <w:rPr>
          <w:color w:val="000000" w:themeColor="text1"/>
        </w:rPr>
        <w:t>2425 Target enrollee</w:t>
      </w:r>
      <w:r w:rsidR="00922BC1" w:rsidRPr="00E62FC6">
        <w:rPr>
          <w:color w:val="000000" w:themeColor="text1"/>
        </w:rPr>
        <w:t xml:space="preserve"> in our dataset</w:t>
      </w:r>
      <w:r w:rsidR="00F15811" w:rsidRPr="00E62FC6">
        <w:rPr>
          <w:color w:val="000000" w:themeColor="text1"/>
        </w:rPr>
        <w:t xml:space="preserve">, </w:t>
      </w:r>
      <w:r w:rsidR="006D3A24">
        <w:rPr>
          <w:color w:val="000000" w:themeColor="text1"/>
        </w:rPr>
        <w:t>11</w:t>
      </w:r>
      <w:r w:rsidR="00A316D1">
        <w:rPr>
          <w:color w:val="000000" w:themeColor="text1"/>
        </w:rPr>
        <w:t>70</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D04E76">
        <w:rPr>
          <w:color w:val="000000" w:themeColor="text1"/>
        </w:rPr>
        <w:t xml:space="preserve"> </w:t>
      </w:r>
      <w:r w:rsidR="00F15811" w:rsidRPr="00E62FC6">
        <w:rPr>
          <w:color w:val="000000" w:themeColor="text1"/>
        </w:rPr>
        <w:t>and city_</w:t>
      </w:r>
      <w:r w:rsidR="008E654C">
        <w:rPr>
          <w:color w:val="000000" w:themeColor="text1"/>
        </w:rPr>
        <w:t>1</w:t>
      </w:r>
      <w:r w:rsidR="00D04E76">
        <w:rPr>
          <w:color w:val="000000" w:themeColor="text1"/>
        </w:rPr>
        <w:t>6</w:t>
      </w:r>
      <w:r w:rsidR="00091E52" w:rsidRPr="00E62FC6">
        <w:rPr>
          <w:color w:val="000000" w:themeColor="text1"/>
        </w:rPr>
        <w:t>, which</w:t>
      </w:r>
      <w:r w:rsidR="00922BC1" w:rsidRPr="00E62FC6">
        <w:rPr>
          <w:color w:val="000000" w:themeColor="text1"/>
        </w:rPr>
        <w:t xml:space="preserve"> shares </w:t>
      </w:r>
      <w:r w:rsidR="00A316D1">
        <w:rPr>
          <w:color w:val="000000" w:themeColor="text1"/>
        </w:rPr>
        <w:t>about</w:t>
      </w:r>
      <w:r w:rsidR="00E9555C">
        <w:rPr>
          <w:color w:val="000000" w:themeColor="text1"/>
        </w:rPr>
        <w:t xml:space="preserve"> 4</w:t>
      </w:r>
      <w:r w:rsidR="00A316D1">
        <w:rPr>
          <w:color w:val="000000" w:themeColor="text1"/>
        </w:rPr>
        <w:t>8</w:t>
      </w:r>
      <w:r w:rsidR="00922BC1" w:rsidRPr="00E62FC6">
        <w:rPr>
          <w:color w:val="000000" w:themeColor="text1"/>
        </w:rPr>
        <w:t>% of the total number.</w:t>
      </w:r>
    </w:p>
    <w:p w14:paraId="2882FDF2" w14:textId="4454E4A9" w:rsidR="00810E9E" w:rsidRDefault="00810E9E" w:rsidP="008F089A">
      <w:pPr>
        <w:rPr>
          <w:color w:val="000000" w:themeColor="text1"/>
        </w:rPr>
      </w:pPr>
    </w:p>
    <w:p w14:paraId="07D506A2" w14:textId="77777777" w:rsidR="00810E9E" w:rsidRPr="00810E9E" w:rsidRDefault="00810E9E" w:rsidP="008F089A">
      <w:pPr>
        <w:rPr>
          <w:color w:val="000000" w:themeColor="text1"/>
        </w:rPr>
      </w:pPr>
    </w:p>
    <w:p w14:paraId="42C46F06" w14:textId="5E14325D" w:rsidR="00F15811" w:rsidRDefault="00116482" w:rsidP="00082D3B">
      <w:pPr>
        <w:jc w:val="both"/>
      </w:pPr>
      <w:r>
        <w:t xml:space="preserve">   </w:t>
      </w:r>
      <w:r w:rsidR="00652392">
        <w:rPr>
          <w:noProof/>
        </w:rPr>
        <w:drawing>
          <wp:inline distT="0" distB="0" distL="0" distR="0" wp14:anchorId="3E1A1949" wp14:editId="25DCEC2E">
            <wp:extent cx="2797175" cy="16549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877" cy="1711017"/>
                    </a:xfrm>
                    <a:prstGeom prst="rect">
                      <a:avLst/>
                    </a:prstGeom>
                    <a:noFill/>
                    <a:ln>
                      <a:noFill/>
                    </a:ln>
                  </pic:spPr>
                </pic:pic>
              </a:graphicData>
            </a:graphic>
          </wp:inline>
        </w:drawing>
      </w:r>
      <w:r w:rsidR="00652392">
        <w:rPr>
          <w:noProof/>
        </w:rPr>
        <w:drawing>
          <wp:inline distT="0" distB="0" distL="0" distR="0" wp14:anchorId="4D0BEC6B" wp14:editId="567FB6E6">
            <wp:extent cx="2959983" cy="1655022"/>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653" cy="1677762"/>
                    </a:xfrm>
                    <a:prstGeom prst="rect">
                      <a:avLst/>
                    </a:prstGeom>
                    <a:noFill/>
                    <a:ln>
                      <a:noFill/>
                    </a:ln>
                  </pic:spPr>
                </pic:pic>
              </a:graphicData>
            </a:graphic>
          </wp:inline>
        </w:drawing>
      </w:r>
    </w:p>
    <w:p w14:paraId="389CF321" w14:textId="52212B5A" w:rsidR="006541E4"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r w:rsidR="00F677F6">
        <w:rPr>
          <w:i/>
          <w:iCs/>
        </w:rPr>
        <w:t>before (left) and after normalization (right)</w:t>
      </w: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19C0D0EC" w:rsidR="00626704" w:rsidRDefault="00626704" w:rsidP="00155E30">
      <w:pPr>
        <w:rPr>
          <w:i/>
          <w:iCs/>
        </w:rPr>
      </w:pPr>
    </w:p>
    <w:p w14:paraId="151BA5B5" w14:textId="77777777" w:rsidR="001F79CA" w:rsidRDefault="001F79CA" w:rsidP="00155E30">
      <w:pPr>
        <w:rPr>
          <w:i/>
          <w:iCs/>
        </w:rPr>
      </w:pPr>
    </w:p>
    <w:p w14:paraId="01D54509" w14:textId="77777777" w:rsidR="00C546DF" w:rsidRDefault="00C546DF" w:rsidP="00155E30">
      <w:pPr>
        <w:rPr>
          <w:i/>
          <w:iCs/>
        </w:rPr>
      </w:pPr>
    </w:p>
    <w:p w14:paraId="579E4822" w14:textId="0D69329E" w:rsidR="004C42F4" w:rsidRDefault="004C42F4" w:rsidP="004C42F4">
      <w:pPr>
        <w:pStyle w:val="Heading2"/>
        <w:rPr>
          <w:rFonts w:ascii="Times New Roman" w:hAnsi="Times New Roman" w:cs="Times New Roman"/>
        </w:rPr>
      </w:pPr>
      <w:bookmarkStart w:id="26" w:name="_Toc57130456"/>
      <w:r w:rsidRPr="004C42F4">
        <w:rPr>
          <w:rFonts w:ascii="Times New Roman" w:hAnsi="Times New Roman" w:cs="Times New Roman"/>
        </w:rPr>
        <w:lastRenderedPageBreak/>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982E872" w:rsidR="00B860D2" w:rsidRDefault="00B860D2" w:rsidP="004C42F4">
      <w:pPr>
        <w:rPr>
          <w:lang w:eastAsia="en-US"/>
        </w:rPr>
      </w:pPr>
    </w:p>
    <w:p w14:paraId="31B6057D" w14:textId="43C25939" w:rsidR="00880D16" w:rsidRDefault="00880D16" w:rsidP="004C42F4">
      <w:pPr>
        <w:rPr>
          <w:lang w:eastAsia="en-US"/>
        </w:rPr>
      </w:pPr>
    </w:p>
    <w:p w14:paraId="0F3E14FC" w14:textId="069F8343" w:rsidR="004916D5" w:rsidRDefault="0094615E" w:rsidP="004916D5">
      <w:r>
        <w:rPr>
          <w:noProof/>
        </w:rPr>
        <w:drawing>
          <wp:inline distT="0" distB="0" distL="0" distR="0" wp14:anchorId="1098E3B3" wp14:editId="37BFE028">
            <wp:extent cx="2895600" cy="168127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5458" cy="1704420"/>
                    </a:xfrm>
                    <a:prstGeom prst="rect">
                      <a:avLst/>
                    </a:prstGeom>
                    <a:noFill/>
                    <a:ln>
                      <a:noFill/>
                    </a:ln>
                  </pic:spPr>
                </pic:pic>
              </a:graphicData>
            </a:graphic>
          </wp:inline>
        </w:drawing>
      </w:r>
      <w:r>
        <w:rPr>
          <w:noProof/>
        </w:rPr>
        <w:drawing>
          <wp:inline distT="0" distB="0" distL="0" distR="0" wp14:anchorId="5C12F55F" wp14:editId="5E5C32EC">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539A4F7D"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w:t>
      </w:r>
      <w:r w:rsidR="00B12DEA">
        <w:rPr>
          <w:i/>
          <w:iCs/>
        </w:rPr>
        <w:t xml:space="preserve">(left) </w:t>
      </w:r>
      <w:r w:rsidR="00A6729A">
        <w:rPr>
          <w:i/>
          <w:iCs/>
        </w:rPr>
        <w:t>and after</w:t>
      </w:r>
      <w:r w:rsidR="00B12DEA">
        <w:rPr>
          <w:i/>
          <w:iCs/>
        </w:rPr>
        <w:t xml:space="preserve"> </w:t>
      </w:r>
      <w:r w:rsidR="00A6729A">
        <w:rPr>
          <w:i/>
          <w:iCs/>
        </w:rPr>
        <w:t>normalization</w:t>
      </w:r>
      <w:r w:rsidR="006622AC">
        <w:rPr>
          <w:i/>
          <w:iCs/>
        </w:rPr>
        <w:t xml:space="preserve"> (right)</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713045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713045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713045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713046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713046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3371EB1C" w14:textId="7E8C8EF3" w:rsidR="004112C2"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r w:rsidR="00A62E84">
        <w:rPr>
          <w:i/>
          <w:iCs/>
          <w:lang w:eastAsia="en-US"/>
        </w:rPr>
        <w:t xml:space="preserve"> </w:t>
      </w:r>
      <w:r w:rsidR="00A62E84" w:rsidRPr="00A62E84">
        <w:rPr>
          <w:lang w:eastAsia="en-US"/>
        </w:rPr>
        <w:t xml:space="preserve">(Top 3 best score for metrics accuracy is highlighted in </w:t>
      </w:r>
      <w:r w:rsidR="00A62E84" w:rsidRPr="00A62E84">
        <w:rPr>
          <w:color w:val="000000" w:themeColor="text1"/>
          <w:highlight w:val="yellow"/>
          <w:lang w:eastAsia="en-US"/>
        </w:rPr>
        <w:t>yellow</w:t>
      </w:r>
      <w:r w:rsidR="00A62E84">
        <w:rPr>
          <w:i/>
          <w:iCs/>
          <w:lang w:eastAsia="en-US"/>
        </w:rPr>
        <w:t>)</w:t>
      </w:r>
    </w:p>
    <w:p w14:paraId="43CB6B0D" w14:textId="6DD6A856" w:rsidR="00A62E84" w:rsidRDefault="00A62E84" w:rsidP="005D5867">
      <w:pPr>
        <w:rPr>
          <w:lang w:eastAsia="en-US"/>
        </w:rPr>
      </w:pPr>
    </w:p>
    <w:p w14:paraId="5F04EA8B" w14:textId="77777777" w:rsidR="00A62E84" w:rsidRPr="00B57B80" w:rsidRDefault="00A62E84" w:rsidP="005D5867">
      <w:pPr>
        <w:rPr>
          <w:lang w:eastAsia="en-US"/>
        </w:rPr>
      </w:pPr>
    </w:p>
    <w:p w14:paraId="3F45B498" w14:textId="71DDE187"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on 5 test folds</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FF5BFB">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94193F">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6D208D7"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w:t>
      </w:r>
      <w:r w:rsidR="00537BBD">
        <w:rPr>
          <w:i/>
          <w:iCs/>
          <w:lang w:eastAsia="en-US"/>
        </w:rPr>
        <w:t xml:space="preserve"> </w:t>
      </w:r>
      <w:r w:rsidR="00B603CD">
        <w:rPr>
          <w:i/>
          <w:iCs/>
          <w:lang w:eastAsia="en-US"/>
        </w:rPr>
        <w:t>(dataset: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 in top 20%</w:t>
      </w:r>
      <w:r w:rsidR="00CF5AF6" w:rsidRPr="0094193F">
        <w:rPr>
          <w:rFonts w:ascii="Times New Roman" w:hAnsi="Times New Roman" w:cs="Times New Roman"/>
          <w:sz w:val="24"/>
          <w:szCs w:val="24"/>
        </w:rPr>
        <w:t>:</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94193F">
        <w:rPr>
          <w:rFonts w:ascii="Times New Roman" w:hAnsi="Times New Roman" w:cs="Times New Roman"/>
          <w:b/>
          <w:bCs/>
          <w:sz w:val="24"/>
          <w:szCs w:val="24"/>
        </w:rPr>
        <w:t>Target</w:t>
      </w:r>
      <w:r w:rsidR="00301516" w:rsidRPr="0094193F">
        <w:rPr>
          <w:rFonts w:ascii="Times New Roman" w:hAnsi="Times New Roman" w:cs="Times New Roman"/>
          <w:b/>
          <w:bCs/>
          <w:sz w:val="24"/>
          <w:szCs w:val="24"/>
        </w:rPr>
        <w:t xml:space="preserve"> in top</w:t>
      </w:r>
      <w:r w:rsidR="00FB3EE5" w:rsidRPr="0094193F">
        <w:rPr>
          <w:rFonts w:ascii="Times New Roman" w:hAnsi="Times New Roman" w:cs="Times New Roman"/>
          <w:b/>
          <w:bCs/>
          <w:sz w:val="24"/>
          <w:szCs w:val="24"/>
        </w:rPr>
        <w:t xml:space="preserve"> </w:t>
      </w:r>
      <w:r w:rsidR="00301516" w:rsidRPr="0094193F">
        <w:rPr>
          <w:rFonts w:ascii="Times New Roman" w:hAnsi="Times New Roman" w:cs="Times New Roman"/>
          <w:b/>
          <w:bCs/>
          <w:sz w:val="24"/>
          <w:szCs w:val="24"/>
        </w:rPr>
        <w:t>50</w:t>
      </w:r>
      <w:r w:rsidR="00FB3EE5" w:rsidRPr="0094193F">
        <w:rPr>
          <w:rFonts w:ascii="Times New Roman" w:hAnsi="Times New Roman" w:cs="Times New Roman"/>
          <w:b/>
          <w:bCs/>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61CD889" w:rsidR="00E462A8" w:rsidRPr="00E462A8" w:rsidRDefault="00E462A8" w:rsidP="005D5867">
      <w:pPr>
        <w:rPr>
          <w:i/>
          <w:iCs/>
          <w:lang w:eastAsia="en-US"/>
        </w:rPr>
      </w:pPr>
      <w:r w:rsidRPr="00E462A8">
        <w:rPr>
          <w:i/>
          <w:iCs/>
          <w:lang w:eastAsia="en-US"/>
        </w:rPr>
        <w:lastRenderedPageBreak/>
        <w:t>Table 6.4 Model performance on Testing set</w:t>
      </w:r>
      <w:r w:rsidR="00534976">
        <w:rPr>
          <w:i/>
          <w:iCs/>
          <w:lang w:eastAsia="en-US"/>
        </w:rPr>
        <w:t xml:space="preserve"> </w:t>
      </w:r>
      <w:r w:rsidR="00534976" w:rsidRPr="00E462A8">
        <w:rPr>
          <w:i/>
          <w:iCs/>
          <w:lang w:eastAsia="en-US"/>
        </w:rPr>
        <w:t xml:space="preserve">(30%) </w:t>
      </w:r>
      <w:r w:rsidR="0014468A">
        <w:rPr>
          <w:i/>
          <w:iCs/>
          <w:lang w:eastAsia="en-US"/>
        </w:rPr>
        <w:t xml:space="preserve">(sorted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1BC0D904" w14:textId="77777777" w:rsidR="00F34673" w:rsidRDefault="00F34673" w:rsidP="00FA3B2A">
      <w:pPr>
        <w:rPr>
          <w:lang w:eastAsia="en-US"/>
        </w:rPr>
      </w:pPr>
    </w:p>
    <w:p w14:paraId="7D64B12B" w14:textId="77777777" w:rsidR="00F34673" w:rsidRDefault="00F34673" w:rsidP="00FA3B2A">
      <w:pPr>
        <w:rPr>
          <w:lang w:eastAsia="en-US"/>
        </w:rPr>
      </w:pPr>
    </w:p>
    <w:p w14:paraId="4416E99C" w14:textId="2C90A40E" w:rsidR="008A1696" w:rsidRDefault="00F34673"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713046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713046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0C61B04E" w:rsidR="0087107D" w:rsidRPr="00823F33" w:rsidRDefault="00823F33" w:rsidP="005D5867">
      <w:pPr>
        <w:rPr>
          <w:i/>
          <w:iCs/>
          <w:lang w:eastAsia="en-US"/>
        </w:rPr>
      </w:pPr>
      <w:r w:rsidRPr="00823F33">
        <w:rPr>
          <w:i/>
          <w:iCs/>
          <w:lang w:eastAsia="en-US"/>
        </w:rPr>
        <w:t>Table 6.6 Metrics percentage change after SMOT</w:t>
      </w:r>
      <w:r w:rsidR="00CC1305">
        <w:rPr>
          <w:i/>
          <w:iCs/>
          <w:lang w:eastAsia="en-US"/>
        </w:rPr>
        <w:t xml:space="preserve">E </w:t>
      </w:r>
    </w:p>
    <w:tbl>
      <w:tblPr>
        <w:tblW w:w="917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998"/>
        <w:gridCol w:w="960"/>
        <w:gridCol w:w="960"/>
        <w:gridCol w:w="1197"/>
        <w:gridCol w:w="1892"/>
        <w:gridCol w:w="1890"/>
      </w:tblGrid>
      <w:tr w:rsidR="00330241" w:rsidRPr="00330241" w14:paraId="4EECF0ED" w14:textId="77777777" w:rsidTr="00330241">
        <w:trPr>
          <w:trHeight w:val="300"/>
        </w:trPr>
        <w:tc>
          <w:tcPr>
            <w:tcW w:w="1278" w:type="dxa"/>
            <w:tcBorders>
              <w:top w:val="single" w:sz="4" w:space="0" w:color="auto"/>
              <w:bottom w:val="single" w:sz="4" w:space="0" w:color="auto"/>
            </w:tcBorders>
            <w:shd w:val="clear" w:color="000000" w:fill="D0CECE"/>
            <w:noWrap/>
            <w:vAlign w:val="bottom"/>
            <w:hideMark/>
          </w:tcPr>
          <w:p w14:paraId="0BAF7451" w14:textId="77777777" w:rsidR="00330241" w:rsidRPr="00330241" w:rsidRDefault="00330241" w:rsidP="00330241">
            <w:pPr>
              <w:rPr>
                <w:color w:val="000000"/>
                <w:sz w:val="21"/>
                <w:szCs w:val="21"/>
              </w:rPr>
            </w:pPr>
            <w:r w:rsidRPr="00330241">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650DF714" w14:textId="77777777" w:rsidR="00330241" w:rsidRPr="00330241" w:rsidRDefault="00330241" w:rsidP="00330241">
            <w:pPr>
              <w:rPr>
                <w:color w:val="000000"/>
                <w:sz w:val="21"/>
                <w:szCs w:val="21"/>
              </w:rPr>
            </w:pPr>
            <w:r w:rsidRPr="00330241">
              <w:rPr>
                <w:color w:val="000000"/>
                <w:sz w:val="21"/>
                <w:szCs w:val="21"/>
              </w:rPr>
              <w:t>Precision</w:t>
            </w:r>
          </w:p>
        </w:tc>
        <w:tc>
          <w:tcPr>
            <w:tcW w:w="960" w:type="dxa"/>
            <w:tcBorders>
              <w:top w:val="single" w:sz="4" w:space="0" w:color="auto"/>
              <w:bottom w:val="single" w:sz="4" w:space="0" w:color="auto"/>
            </w:tcBorders>
            <w:shd w:val="clear" w:color="000000" w:fill="D0CECE"/>
            <w:noWrap/>
            <w:vAlign w:val="bottom"/>
            <w:hideMark/>
          </w:tcPr>
          <w:p w14:paraId="63CCA82F" w14:textId="77777777" w:rsidR="00330241" w:rsidRPr="00330241" w:rsidRDefault="00330241" w:rsidP="00330241">
            <w:pPr>
              <w:rPr>
                <w:color w:val="000000"/>
                <w:sz w:val="21"/>
                <w:szCs w:val="21"/>
              </w:rPr>
            </w:pPr>
            <w:r w:rsidRPr="00330241">
              <w:rPr>
                <w:color w:val="000000"/>
                <w:sz w:val="21"/>
                <w:szCs w:val="21"/>
              </w:rPr>
              <w:t>Recall</w:t>
            </w:r>
          </w:p>
        </w:tc>
        <w:tc>
          <w:tcPr>
            <w:tcW w:w="960" w:type="dxa"/>
            <w:tcBorders>
              <w:top w:val="single" w:sz="4" w:space="0" w:color="auto"/>
              <w:bottom w:val="single" w:sz="4" w:space="0" w:color="auto"/>
            </w:tcBorders>
            <w:shd w:val="clear" w:color="000000" w:fill="D0CECE"/>
            <w:noWrap/>
            <w:vAlign w:val="bottom"/>
            <w:hideMark/>
          </w:tcPr>
          <w:p w14:paraId="3D5CFED2" w14:textId="77777777" w:rsidR="00330241" w:rsidRPr="00330241" w:rsidRDefault="00330241" w:rsidP="00330241">
            <w:pPr>
              <w:rPr>
                <w:color w:val="000000"/>
                <w:sz w:val="21"/>
                <w:szCs w:val="21"/>
              </w:rPr>
            </w:pPr>
            <w:r w:rsidRPr="00330241">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33A89FC6" w14:textId="77777777" w:rsidR="00330241" w:rsidRPr="00330241" w:rsidRDefault="00330241" w:rsidP="00330241">
            <w:pPr>
              <w:rPr>
                <w:color w:val="000000"/>
                <w:sz w:val="21"/>
                <w:szCs w:val="21"/>
              </w:rPr>
            </w:pPr>
            <w:r w:rsidRPr="00330241">
              <w:rPr>
                <w:color w:val="000000"/>
                <w:sz w:val="21"/>
                <w:szCs w:val="21"/>
              </w:rPr>
              <w:t>ROC_AUC</w:t>
            </w:r>
          </w:p>
        </w:tc>
        <w:tc>
          <w:tcPr>
            <w:tcW w:w="1892" w:type="dxa"/>
            <w:tcBorders>
              <w:top w:val="single" w:sz="4" w:space="0" w:color="auto"/>
              <w:bottom w:val="single" w:sz="4" w:space="0" w:color="auto"/>
            </w:tcBorders>
            <w:shd w:val="clear" w:color="000000" w:fill="D0CECE"/>
            <w:noWrap/>
            <w:vAlign w:val="bottom"/>
            <w:hideMark/>
          </w:tcPr>
          <w:p w14:paraId="67062E78" w14:textId="77777777" w:rsidR="00330241" w:rsidRPr="00330241" w:rsidRDefault="00330241" w:rsidP="00330241">
            <w:pPr>
              <w:rPr>
                <w:color w:val="000000"/>
                <w:sz w:val="21"/>
                <w:szCs w:val="21"/>
              </w:rPr>
            </w:pPr>
            <w:r w:rsidRPr="00330241">
              <w:rPr>
                <w:color w:val="000000"/>
                <w:sz w:val="21"/>
                <w:szCs w:val="21"/>
              </w:rPr>
              <w:t>Target in top 20%</w:t>
            </w:r>
          </w:p>
        </w:tc>
        <w:tc>
          <w:tcPr>
            <w:tcW w:w="1890" w:type="dxa"/>
            <w:tcBorders>
              <w:top w:val="single" w:sz="4" w:space="0" w:color="auto"/>
              <w:bottom w:val="single" w:sz="4" w:space="0" w:color="auto"/>
            </w:tcBorders>
            <w:shd w:val="clear" w:color="000000" w:fill="D0CECE"/>
            <w:noWrap/>
            <w:vAlign w:val="bottom"/>
            <w:hideMark/>
          </w:tcPr>
          <w:p w14:paraId="73318CA1" w14:textId="77777777" w:rsidR="00330241" w:rsidRPr="00330241" w:rsidRDefault="00330241" w:rsidP="00330241">
            <w:pPr>
              <w:rPr>
                <w:color w:val="000000"/>
                <w:sz w:val="21"/>
                <w:szCs w:val="21"/>
              </w:rPr>
            </w:pPr>
            <w:r w:rsidRPr="00330241">
              <w:rPr>
                <w:color w:val="000000"/>
                <w:sz w:val="21"/>
                <w:szCs w:val="21"/>
              </w:rPr>
              <w:t>Target in top 50%</w:t>
            </w:r>
          </w:p>
        </w:tc>
      </w:tr>
      <w:tr w:rsidR="00330241" w:rsidRPr="00330241" w14:paraId="0B5F998D" w14:textId="77777777" w:rsidTr="00330241">
        <w:trPr>
          <w:trHeight w:val="300"/>
        </w:trPr>
        <w:tc>
          <w:tcPr>
            <w:tcW w:w="1278" w:type="dxa"/>
            <w:tcBorders>
              <w:top w:val="single" w:sz="4" w:space="0" w:color="auto"/>
            </w:tcBorders>
            <w:noWrap/>
            <w:vAlign w:val="bottom"/>
            <w:hideMark/>
          </w:tcPr>
          <w:p w14:paraId="72E3986D" w14:textId="77777777" w:rsidR="00330241" w:rsidRPr="00330241" w:rsidRDefault="00330241" w:rsidP="00330241">
            <w:pPr>
              <w:rPr>
                <w:color w:val="000000"/>
                <w:sz w:val="21"/>
                <w:szCs w:val="21"/>
              </w:rPr>
            </w:pPr>
            <w:r w:rsidRPr="00330241">
              <w:rPr>
                <w:color w:val="000000"/>
                <w:sz w:val="21"/>
                <w:szCs w:val="21"/>
              </w:rPr>
              <w:t>LR</w:t>
            </w:r>
          </w:p>
        </w:tc>
        <w:tc>
          <w:tcPr>
            <w:tcW w:w="998" w:type="dxa"/>
            <w:tcBorders>
              <w:top w:val="single" w:sz="4" w:space="0" w:color="auto"/>
            </w:tcBorders>
            <w:noWrap/>
            <w:vAlign w:val="bottom"/>
            <w:hideMark/>
          </w:tcPr>
          <w:p w14:paraId="205B6FC2" w14:textId="77777777"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EDB1727" w14:textId="1DBDCCA8" w:rsidR="00330241" w:rsidRPr="00330241" w:rsidRDefault="00330241" w:rsidP="00330241">
            <w:pPr>
              <w:jc w:val="center"/>
              <w:rPr>
                <w:color w:val="000000"/>
                <w:sz w:val="21"/>
                <w:szCs w:val="21"/>
              </w:rPr>
            </w:pPr>
            <w:r w:rsidRPr="00330241">
              <w:rPr>
                <w:color w:val="000000"/>
                <w:sz w:val="21"/>
                <w:szCs w:val="21"/>
              </w:rPr>
              <w:t>∞</w:t>
            </w:r>
          </w:p>
        </w:tc>
        <w:tc>
          <w:tcPr>
            <w:tcW w:w="960" w:type="dxa"/>
            <w:tcBorders>
              <w:top w:val="single" w:sz="4" w:space="0" w:color="auto"/>
            </w:tcBorders>
            <w:noWrap/>
            <w:vAlign w:val="bottom"/>
            <w:hideMark/>
          </w:tcPr>
          <w:p w14:paraId="66141D6A" w14:textId="45DD8C39" w:rsidR="00330241" w:rsidRPr="00330241" w:rsidRDefault="00330241" w:rsidP="00330241">
            <w:pPr>
              <w:jc w:val="center"/>
              <w:rPr>
                <w:color w:val="000000"/>
                <w:sz w:val="21"/>
                <w:szCs w:val="21"/>
              </w:rPr>
            </w:pPr>
            <w:r w:rsidRPr="00330241">
              <w:rPr>
                <w:color w:val="000000"/>
                <w:sz w:val="21"/>
                <w:szCs w:val="21"/>
              </w:rPr>
              <w:t>∞</w:t>
            </w:r>
          </w:p>
        </w:tc>
        <w:tc>
          <w:tcPr>
            <w:tcW w:w="1197" w:type="dxa"/>
            <w:tcBorders>
              <w:top w:val="single" w:sz="4" w:space="0" w:color="auto"/>
            </w:tcBorders>
            <w:noWrap/>
            <w:vAlign w:val="bottom"/>
            <w:hideMark/>
          </w:tcPr>
          <w:p w14:paraId="2CB95B3A" w14:textId="77777777" w:rsidR="00330241" w:rsidRPr="00330241" w:rsidRDefault="00330241" w:rsidP="00330241">
            <w:pPr>
              <w:jc w:val="right"/>
              <w:rPr>
                <w:color w:val="9C0006"/>
                <w:sz w:val="21"/>
                <w:szCs w:val="21"/>
              </w:rPr>
            </w:pPr>
            <w:r w:rsidRPr="00330241">
              <w:rPr>
                <w:color w:val="9C0006"/>
                <w:sz w:val="21"/>
                <w:szCs w:val="21"/>
              </w:rPr>
              <w:t>-0.95</w:t>
            </w:r>
          </w:p>
        </w:tc>
        <w:tc>
          <w:tcPr>
            <w:tcW w:w="1892" w:type="dxa"/>
            <w:tcBorders>
              <w:top w:val="single" w:sz="4" w:space="0" w:color="auto"/>
            </w:tcBorders>
            <w:noWrap/>
            <w:vAlign w:val="bottom"/>
            <w:hideMark/>
          </w:tcPr>
          <w:p w14:paraId="5DED933D" w14:textId="77777777" w:rsidR="00330241" w:rsidRPr="00330241" w:rsidRDefault="00330241" w:rsidP="00330241">
            <w:pPr>
              <w:jc w:val="right"/>
              <w:rPr>
                <w:color w:val="9C0006"/>
                <w:sz w:val="21"/>
                <w:szCs w:val="21"/>
              </w:rPr>
            </w:pPr>
            <w:r w:rsidRPr="00330241">
              <w:rPr>
                <w:color w:val="9C0006"/>
                <w:sz w:val="21"/>
                <w:szCs w:val="21"/>
              </w:rPr>
              <w:t>-3.44</w:t>
            </w:r>
          </w:p>
        </w:tc>
        <w:tc>
          <w:tcPr>
            <w:tcW w:w="1890" w:type="dxa"/>
            <w:tcBorders>
              <w:top w:val="single" w:sz="4" w:space="0" w:color="auto"/>
            </w:tcBorders>
            <w:noWrap/>
            <w:vAlign w:val="bottom"/>
            <w:hideMark/>
          </w:tcPr>
          <w:p w14:paraId="7E367CD3" w14:textId="77777777" w:rsidR="00330241" w:rsidRPr="00330241" w:rsidRDefault="00330241" w:rsidP="00330241">
            <w:pPr>
              <w:jc w:val="right"/>
              <w:rPr>
                <w:color w:val="9C0006"/>
                <w:sz w:val="21"/>
                <w:szCs w:val="21"/>
              </w:rPr>
            </w:pPr>
            <w:r w:rsidRPr="00330241">
              <w:rPr>
                <w:color w:val="9C0006"/>
                <w:sz w:val="21"/>
                <w:szCs w:val="21"/>
              </w:rPr>
              <w:t>-0.62</w:t>
            </w:r>
          </w:p>
        </w:tc>
      </w:tr>
      <w:tr w:rsidR="00330241" w:rsidRPr="00330241" w14:paraId="4D7A2AAB" w14:textId="77777777" w:rsidTr="00330241">
        <w:trPr>
          <w:trHeight w:val="300"/>
        </w:trPr>
        <w:tc>
          <w:tcPr>
            <w:tcW w:w="1278" w:type="dxa"/>
            <w:noWrap/>
            <w:vAlign w:val="bottom"/>
            <w:hideMark/>
          </w:tcPr>
          <w:p w14:paraId="6D92631A" w14:textId="77777777" w:rsidR="00330241" w:rsidRPr="00330241" w:rsidRDefault="00330241" w:rsidP="00330241">
            <w:pPr>
              <w:rPr>
                <w:color w:val="000000"/>
                <w:sz w:val="21"/>
                <w:szCs w:val="21"/>
              </w:rPr>
            </w:pPr>
            <w:proofErr w:type="spellStart"/>
            <w:r w:rsidRPr="00330241">
              <w:rPr>
                <w:color w:val="000000"/>
                <w:sz w:val="21"/>
                <w:szCs w:val="21"/>
              </w:rPr>
              <w:t>GaussianNB</w:t>
            </w:r>
            <w:proofErr w:type="spellEnd"/>
          </w:p>
        </w:tc>
        <w:tc>
          <w:tcPr>
            <w:tcW w:w="998" w:type="dxa"/>
            <w:noWrap/>
            <w:vAlign w:val="bottom"/>
            <w:hideMark/>
          </w:tcPr>
          <w:p w14:paraId="23F0D515" w14:textId="77777777" w:rsidR="00330241" w:rsidRPr="00330241" w:rsidRDefault="00330241" w:rsidP="00330241">
            <w:pPr>
              <w:jc w:val="right"/>
              <w:rPr>
                <w:color w:val="9C0006"/>
                <w:sz w:val="21"/>
                <w:szCs w:val="21"/>
              </w:rPr>
            </w:pPr>
            <w:r w:rsidRPr="00330241">
              <w:rPr>
                <w:color w:val="9C0006"/>
                <w:sz w:val="21"/>
                <w:szCs w:val="21"/>
              </w:rPr>
              <w:t>-34.35</w:t>
            </w:r>
          </w:p>
        </w:tc>
        <w:tc>
          <w:tcPr>
            <w:tcW w:w="960" w:type="dxa"/>
            <w:noWrap/>
            <w:vAlign w:val="bottom"/>
            <w:hideMark/>
          </w:tcPr>
          <w:p w14:paraId="692B4B30" w14:textId="77777777" w:rsidR="00330241" w:rsidRPr="00330241" w:rsidRDefault="00330241" w:rsidP="00330241">
            <w:pPr>
              <w:jc w:val="right"/>
              <w:rPr>
                <w:color w:val="000000"/>
                <w:sz w:val="21"/>
                <w:szCs w:val="21"/>
              </w:rPr>
            </w:pPr>
            <w:r w:rsidRPr="00330241">
              <w:rPr>
                <w:color w:val="000000"/>
                <w:sz w:val="21"/>
                <w:szCs w:val="21"/>
              </w:rPr>
              <w:t>100.00</w:t>
            </w:r>
          </w:p>
        </w:tc>
        <w:tc>
          <w:tcPr>
            <w:tcW w:w="960" w:type="dxa"/>
            <w:noWrap/>
            <w:vAlign w:val="bottom"/>
            <w:hideMark/>
          </w:tcPr>
          <w:p w14:paraId="3CF051FF" w14:textId="77777777" w:rsidR="00330241" w:rsidRPr="00330241" w:rsidRDefault="00330241" w:rsidP="00330241">
            <w:pPr>
              <w:jc w:val="right"/>
              <w:rPr>
                <w:color w:val="9C0006"/>
                <w:sz w:val="21"/>
                <w:szCs w:val="21"/>
              </w:rPr>
            </w:pPr>
            <w:r w:rsidRPr="00330241">
              <w:rPr>
                <w:color w:val="9C0006"/>
                <w:sz w:val="21"/>
                <w:szCs w:val="21"/>
              </w:rPr>
              <w:t>-10.22</w:t>
            </w:r>
          </w:p>
        </w:tc>
        <w:tc>
          <w:tcPr>
            <w:tcW w:w="1197" w:type="dxa"/>
            <w:noWrap/>
            <w:vAlign w:val="bottom"/>
            <w:hideMark/>
          </w:tcPr>
          <w:p w14:paraId="6A866A24"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41A2E45C" w14:textId="77777777" w:rsidR="00330241" w:rsidRPr="00330241" w:rsidRDefault="00330241" w:rsidP="00330241">
            <w:pPr>
              <w:jc w:val="right"/>
              <w:rPr>
                <w:color w:val="000000"/>
                <w:sz w:val="21"/>
                <w:szCs w:val="21"/>
              </w:rPr>
            </w:pPr>
            <w:r w:rsidRPr="00330241">
              <w:rPr>
                <w:color w:val="000000"/>
                <w:sz w:val="21"/>
                <w:szCs w:val="21"/>
              </w:rPr>
              <w:t>0.00</w:t>
            </w:r>
          </w:p>
        </w:tc>
        <w:tc>
          <w:tcPr>
            <w:tcW w:w="1890" w:type="dxa"/>
            <w:noWrap/>
            <w:vAlign w:val="bottom"/>
            <w:hideMark/>
          </w:tcPr>
          <w:p w14:paraId="211F6BE0" w14:textId="77777777" w:rsidR="00330241" w:rsidRPr="00330241" w:rsidRDefault="00330241" w:rsidP="00330241">
            <w:pPr>
              <w:jc w:val="right"/>
              <w:rPr>
                <w:color w:val="9C0006"/>
                <w:sz w:val="21"/>
                <w:szCs w:val="21"/>
              </w:rPr>
            </w:pPr>
            <w:r w:rsidRPr="00330241">
              <w:rPr>
                <w:color w:val="9C0006"/>
                <w:sz w:val="21"/>
                <w:szCs w:val="21"/>
              </w:rPr>
              <w:t>-3.71</w:t>
            </w:r>
          </w:p>
        </w:tc>
      </w:tr>
      <w:tr w:rsidR="00330241" w:rsidRPr="00330241" w14:paraId="3BEAF021" w14:textId="77777777" w:rsidTr="00330241">
        <w:trPr>
          <w:trHeight w:val="300"/>
        </w:trPr>
        <w:tc>
          <w:tcPr>
            <w:tcW w:w="1278" w:type="dxa"/>
            <w:noWrap/>
            <w:vAlign w:val="bottom"/>
            <w:hideMark/>
          </w:tcPr>
          <w:p w14:paraId="62C3C819" w14:textId="77777777" w:rsidR="00330241" w:rsidRPr="00330241" w:rsidRDefault="00330241" w:rsidP="00330241">
            <w:pPr>
              <w:rPr>
                <w:color w:val="000000"/>
                <w:sz w:val="21"/>
                <w:szCs w:val="21"/>
              </w:rPr>
            </w:pPr>
            <w:r w:rsidRPr="00330241">
              <w:rPr>
                <w:color w:val="000000"/>
                <w:sz w:val="21"/>
                <w:szCs w:val="21"/>
              </w:rPr>
              <w:t>KNN</w:t>
            </w:r>
          </w:p>
        </w:tc>
        <w:tc>
          <w:tcPr>
            <w:tcW w:w="998" w:type="dxa"/>
            <w:noWrap/>
            <w:vAlign w:val="bottom"/>
            <w:hideMark/>
          </w:tcPr>
          <w:p w14:paraId="0BE04917" w14:textId="77777777" w:rsidR="00330241" w:rsidRPr="00330241" w:rsidRDefault="00330241" w:rsidP="00330241">
            <w:pPr>
              <w:jc w:val="right"/>
              <w:rPr>
                <w:color w:val="9C0006"/>
                <w:sz w:val="21"/>
                <w:szCs w:val="21"/>
              </w:rPr>
            </w:pPr>
            <w:r w:rsidRPr="00330241">
              <w:rPr>
                <w:color w:val="9C0006"/>
                <w:sz w:val="21"/>
                <w:szCs w:val="21"/>
              </w:rPr>
              <w:t>-31.43</w:t>
            </w:r>
          </w:p>
        </w:tc>
        <w:tc>
          <w:tcPr>
            <w:tcW w:w="960" w:type="dxa"/>
            <w:noWrap/>
            <w:vAlign w:val="bottom"/>
            <w:hideMark/>
          </w:tcPr>
          <w:p w14:paraId="3660C150" w14:textId="77777777" w:rsidR="00330241" w:rsidRPr="00330241" w:rsidRDefault="00330241" w:rsidP="00330241">
            <w:pPr>
              <w:jc w:val="right"/>
              <w:rPr>
                <w:color w:val="000000"/>
                <w:sz w:val="21"/>
                <w:szCs w:val="21"/>
              </w:rPr>
            </w:pPr>
            <w:r w:rsidRPr="00330241">
              <w:rPr>
                <w:color w:val="000000"/>
                <w:sz w:val="21"/>
                <w:szCs w:val="21"/>
              </w:rPr>
              <w:t>1009.76</w:t>
            </w:r>
          </w:p>
        </w:tc>
        <w:tc>
          <w:tcPr>
            <w:tcW w:w="960" w:type="dxa"/>
            <w:noWrap/>
            <w:vAlign w:val="bottom"/>
            <w:hideMark/>
          </w:tcPr>
          <w:p w14:paraId="38E4D841" w14:textId="77777777" w:rsidR="00330241" w:rsidRPr="00330241" w:rsidRDefault="00330241" w:rsidP="00330241">
            <w:pPr>
              <w:jc w:val="right"/>
              <w:rPr>
                <w:color w:val="000000"/>
                <w:sz w:val="21"/>
                <w:szCs w:val="21"/>
              </w:rPr>
            </w:pPr>
            <w:r w:rsidRPr="00330241">
              <w:rPr>
                <w:color w:val="000000"/>
                <w:sz w:val="21"/>
                <w:szCs w:val="21"/>
              </w:rPr>
              <w:t>215.94</w:t>
            </w:r>
          </w:p>
        </w:tc>
        <w:tc>
          <w:tcPr>
            <w:tcW w:w="1197" w:type="dxa"/>
            <w:noWrap/>
            <w:vAlign w:val="bottom"/>
            <w:hideMark/>
          </w:tcPr>
          <w:p w14:paraId="3E490650" w14:textId="77777777" w:rsidR="00330241" w:rsidRPr="00330241" w:rsidRDefault="00330241" w:rsidP="00330241">
            <w:pPr>
              <w:jc w:val="right"/>
              <w:rPr>
                <w:color w:val="9C0006"/>
                <w:sz w:val="21"/>
                <w:szCs w:val="21"/>
              </w:rPr>
            </w:pPr>
            <w:r w:rsidRPr="00330241">
              <w:rPr>
                <w:color w:val="9C0006"/>
                <w:sz w:val="21"/>
                <w:szCs w:val="21"/>
              </w:rPr>
              <w:t>-1.64</w:t>
            </w:r>
          </w:p>
        </w:tc>
        <w:tc>
          <w:tcPr>
            <w:tcW w:w="1892" w:type="dxa"/>
            <w:noWrap/>
            <w:vAlign w:val="bottom"/>
            <w:hideMark/>
          </w:tcPr>
          <w:p w14:paraId="1283F698" w14:textId="77777777" w:rsidR="00330241" w:rsidRPr="00330241" w:rsidRDefault="00330241" w:rsidP="00330241">
            <w:pPr>
              <w:jc w:val="right"/>
              <w:rPr>
                <w:color w:val="9C0006"/>
                <w:sz w:val="21"/>
                <w:szCs w:val="21"/>
              </w:rPr>
            </w:pPr>
            <w:r w:rsidRPr="00330241">
              <w:rPr>
                <w:color w:val="9C0006"/>
                <w:sz w:val="21"/>
                <w:szCs w:val="21"/>
              </w:rPr>
              <w:t>-3.70</w:t>
            </w:r>
          </w:p>
        </w:tc>
        <w:tc>
          <w:tcPr>
            <w:tcW w:w="1890" w:type="dxa"/>
            <w:noWrap/>
            <w:vAlign w:val="bottom"/>
            <w:hideMark/>
          </w:tcPr>
          <w:p w14:paraId="6B97DC4A" w14:textId="77777777" w:rsidR="00330241" w:rsidRPr="00330241" w:rsidRDefault="00330241" w:rsidP="00330241">
            <w:pPr>
              <w:jc w:val="right"/>
              <w:rPr>
                <w:color w:val="9C0006"/>
                <w:sz w:val="21"/>
                <w:szCs w:val="21"/>
              </w:rPr>
            </w:pPr>
            <w:r w:rsidRPr="00330241">
              <w:rPr>
                <w:color w:val="9C0006"/>
                <w:sz w:val="21"/>
                <w:szCs w:val="21"/>
              </w:rPr>
              <w:t>-5.33</w:t>
            </w:r>
          </w:p>
        </w:tc>
      </w:tr>
      <w:tr w:rsidR="00330241" w:rsidRPr="00330241" w14:paraId="26688442" w14:textId="77777777" w:rsidTr="00330241">
        <w:trPr>
          <w:trHeight w:val="300"/>
        </w:trPr>
        <w:tc>
          <w:tcPr>
            <w:tcW w:w="1278" w:type="dxa"/>
            <w:shd w:val="clear" w:color="000000" w:fill="FFFFFF"/>
            <w:noWrap/>
            <w:vAlign w:val="bottom"/>
            <w:hideMark/>
          </w:tcPr>
          <w:p w14:paraId="3F0AF589" w14:textId="77777777" w:rsidR="00330241" w:rsidRPr="00330241" w:rsidRDefault="00330241" w:rsidP="00330241">
            <w:pPr>
              <w:rPr>
                <w:color w:val="000000"/>
                <w:sz w:val="21"/>
                <w:szCs w:val="21"/>
              </w:rPr>
            </w:pPr>
            <w:r w:rsidRPr="00330241">
              <w:rPr>
                <w:color w:val="000000"/>
                <w:sz w:val="21"/>
                <w:szCs w:val="21"/>
              </w:rPr>
              <w:t>SVC</w:t>
            </w:r>
          </w:p>
        </w:tc>
        <w:tc>
          <w:tcPr>
            <w:tcW w:w="998" w:type="dxa"/>
            <w:noWrap/>
            <w:vAlign w:val="bottom"/>
            <w:hideMark/>
          </w:tcPr>
          <w:p w14:paraId="227A508E" w14:textId="00B46E04"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49710B83" w14:textId="3B16CE30" w:rsidR="00330241" w:rsidRPr="00330241" w:rsidRDefault="00330241" w:rsidP="00330241">
            <w:pPr>
              <w:jc w:val="center"/>
              <w:rPr>
                <w:color w:val="000000"/>
                <w:sz w:val="21"/>
                <w:szCs w:val="21"/>
              </w:rPr>
            </w:pPr>
            <w:r w:rsidRPr="00330241">
              <w:rPr>
                <w:color w:val="000000"/>
                <w:sz w:val="21"/>
                <w:szCs w:val="21"/>
              </w:rPr>
              <w:t>∞</w:t>
            </w:r>
          </w:p>
        </w:tc>
        <w:tc>
          <w:tcPr>
            <w:tcW w:w="960" w:type="dxa"/>
            <w:noWrap/>
            <w:vAlign w:val="bottom"/>
            <w:hideMark/>
          </w:tcPr>
          <w:p w14:paraId="10D375B6" w14:textId="598A70B8" w:rsidR="00330241" w:rsidRPr="00330241" w:rsidRDefault="00330241" w:rsidP="00330241">
            <w:pPr>
              <w:jc w:val="center"/>
              <w:rPr>
                <w:color w:val="000000"/>
                <w:sz w:val="21"/>
                <w:szCs w:val="21"/>
              </w:rPr>
            </w:pPr>
            <w:r w:rsidRPr="00330241">
              <w:rPr>
                <w:color w:val="000000"/>
                <w:sz w:val="21"/>
                <w:szCs w:val="21"/>
              </w:rPr>
              <w:t>∞</w:t>
            </w:r>
          </w:p>
        </w:tc>
        <w:tc>
          <w:tcPr>
            <w:tcW w:w="1197" w:type="dxa"/>
            <w:noWrap/>
            <w:vAlign w:val="bottom"/>
            <w:hideMark/>
          </w:tcPr>
          <w:p w14:paraId="1B5787C8" w14:textId="77777777" w:rsidR="00330241" w:rsidRPr="00330241" w:rsidRDefault="00330241" w:rsidP="00330241">
            <w:pPr>
              <w:jc w:val="right"/>
              <w:rPr>
                <w:color w:val="000000"/>
                <w:sz w:val="21"/>
                <w:szCs w:val="21"/>
              </w:rPr>
            </w:pPr>
            <w:r w:rsidRPr="00330241">
              <w:rPr>
                <w:color w:val="000000"/>
                <w:sz w:val="21"/>
                <w:szCs w:val="21"/>
              </w:rPr>
              <w:t>14.40</w:t>
            </w:r>
          </w:p>
        </w:tc>
        <w:tc>
          <w:tcPr>
            <w:tcW w:w="1892" w:type="dxa"/>
            <w:noWrap/>
            <w:vAlign w:val="bottom"/>
            <w:hideMark/>
          </w:tcPr>
          <w:p w14:paraId="0800D422" w14:textId="77777777" w:rsidR="00330241" w:rsidRPr="00330241" w:rsidRDefault="00330241" w:rsidP="00330241">
            <w:pPr>
              <w:jc w:val="right"/>
              <w:rPr>
                <w:color w:val="000000"/>
                <w:sz w:val="21"/>
                <w:szCs w:val="21"/>
              </w:rPr>
            </w:pPr>
            <w:r w:rsidRPr="00330241">
              <w:rPr>
                <w:color w:val="000000"/>
                <w:sz w:val="21"/>
                <w:szCs w:val="21"/>
              </w:rPr>
              <w:t>39.47</w:t>
            </w:r>
          </w:p>
        </w:tc>
        <w:tc>
          <w:tcPr>
            <w:tcW w:w="1890" w:type="dxa"/>
            <w:noWrap/>
            <w:vAlign w:val="bottom"/>
            <w:hideMark/>
          </w:tcPr>
          <w:p w14:paraId="22D6D2FA" w14:textId="77777777" w:rsidR="00330241" w:rsidRPr="00330241" w:rsidRDefault="00330241" w:rsidP="00330241">
            <w:pPr>
              <w:jc w:val="right"/>
              <w:rPr>
                <w:color w:val="000000"/>
                <w:sz w:val="21"/>
                <w:szCs w:val="21"/>
              </w:rPr>
            </w:pPr>
            <w:r w:rsidRPr="00330241">
              <w:rPr>
                <w:color w:val="000000"/>
                <w:sz w:val="21"/>
                <w:szCs w:val="21"/>
              </w:rPr>
              <w:t>20.88</w:t>
            </w:r>
          </w:p>
        </w:tc>
      </w:tr>
      <w:tr w:rsidR="00330241" w:rsidRPr="00330241" w14:paraId="1F933B29" w14:textId="77777777" w:rsidTr="00330241">
        <w:trPr>
          <w:trHeight w:val="300"/>
        </w:trPr>
        <w:tc>
          <w:tcPr>
            <w:tcW w:w="1278" w:type="dxa"/>
            <w:shd w:val="clear" w:color="000000" w:fill="FFFFFF"/>
            <w:noWrap/>
            <w:vAlign w:val="bottom"/>
            <w:hideMark/>
          </w:tcPr>
          <w:p w14:paraId="12A69DBD" w14:textId="77777777" w:rsidR="00330241" w:rsidRPr="00330241" w:rsidRDefault="00330241" w:rsidP="00330241">
            <w:pPr>
              <w:rPr>
                <w:color w:val="000000"/>
                <w:sz w:val="21"/>
                <w:szCs w:val="21"/>
              </w:rPr>
            </w:pPr>
            <w:r w:rsidRPr="00330241">
              <w:rPr>
                <w:color w:val="000000"/>
                <w:sz w:val="21"/>
                <w:szCs w:val="21"/>
              </w:rPr>
              <w:t>DT</w:t>
            </w:r>
          </w:p>
        </w:tc>
        <w:tc>
          <w:tcPr>
            <w:tcW w:w="998" w:type="dxa"/>
            <w:noWrap/>
            <w:vAlign w:val="bottom"/>
            <w:hideMark/>
          </w:tcPr>
          <w:p w14:paraId="1CFE1342" w14:textId="77777777" w:rsidR="00330241" w:rsidRPr="00330241" w:rsidRDefault="00330241" w:rsidP="00330241">
            <w:pPr>
              <w:jc w:val="right"/>
              <w:rPr>
                <w:color w:val="9C0006"/>
                <w:sz w:val="21"/>
                <w:szCs w:val="21"/>
              </w:rPr>
            </w:pPr>
            <w:r w:rsidRPr="00330241">
              <w:rPr>
                <w:color w:val="9C0006"/>
                <w:sz w:val="21"/>
                <w:szCs w:val="21"/>
              </w:rPr>
              <w:t>-9.50</w:t>
            </w:r>
          </w:p>
        </w:tc>
        <w:tc>
          <w:tcPr>
            <w:tcW w:w="960" w:type="dxa"/>
            <w:noWrap/>
            <w:vAlign w:val="bottom"/>
            <w:hideMark/>
          </w:tcPr>
          <w:p w14:paraId="5A359C46" w14:textId="77777777" w:rsidR="00330241" w:rsidRPr="00330241" w:rsidRDefault="00330241" w:rsidP="00330241">
            <w:pPr>
              <w:jc w:val="right"/>
              <w:rPr>
                <w:color w:val="9C0006"/>
                <w:sz w:val="21"/>
                <w:szCs w:val="21"/>
              </w:rPr>
            </w:pPr>
            <w:r w:rsidRPr="00330241">
              <w:rPr>
                <w:color w:val="9C0006"/>
                <w:sz w:val="21"/>
                <w:szCs w:val="21"/>
              </w:rPr>
              <w:t>-11.36</w:t>
            </w:r>
          </w:p>
        </w:tc>
        <w:tc>
          <w:tcPr>
            <w:tcW w:w="960" w:type="dxa"/>
            <w:noWrap/>
            <w:vAlign w:val="bottom"/>
            <w:hideMark/>
          </w:tcPr>
          <w:p w14:paraId="55B90657" w14:textId="77777777" w:rsidR="00330241" w:rsidRPr="00330241" w:rsidRDefault="00330241" w:rsidP="00330241">
            <w:pPr>
              <w:jc w:val="right"/>
              <w:rPr>
                <w:color w:val="9C0006"/>
                <w:sz w:val="21"/>
                <w:szCs w:val="21"/>
              </w:rPr>
            </w:pPr>
            <w:r w:rsidRPr="00330241">
              <w:rPr>
                <w:color w:val="9C0006"/>
                <w:sz w:val="21"/>
                <w:szCs w:val="21"/>
              </w:rPr>
              <w:t>-10.15</w:t>
            </w:r>
          </w:p>
        </w:tc>
        <w:tc>
          <w:tcPr>
            <w:tcW w:w="1197" w:type="dxa"/>
            <w:noWrap/>
            <w:vAlign w:val="bottom"/>
            <w:hideMark/>
          </w:tcPr>
          <w:p w14:paraId="36351A70" w14:textId="77777777" w:rsidR="00330241" w:rsidRPr="00330241" w:rsidRDefault="00330241" w:rsidP="00330241">
            <w:pPr>
              <w:jc w:val="right"/>
              <w:rPr>
                <w:color w:val="9C0006"/>
                <w:sz w:val="21"/>
                <w:szCs w:val="21"/>
              </w:rPr>
            </w:pPr>
            <w:r w:rsidRPr="00330241">
              <w:rPr>
                <w:color w:val="9C0006"/>
                <w:sz w:val="21"/>
                <w:szCs w:val="21"/>
              </w:rPr>
              <w:t>-2.44</w:t>
            </w:r>
          </w:p>
        </w:tc>
        <w:tc>
          <w:tcPr>
            <w:tcW w:w="1892" w:type="dxa"/>
            <w:noWrap/>
            <w:vAlign w:val="bottom"/>
            <w:hideMark/>
          </w:tcPr>
          <w:p w14:paraId="2E440491" w14:textId="77777777" w:rsidR="00330241" w:rsidRPr="00330241" w:rsidRDefault="00330241" w:rsidP="00330241">
            <w:pPr>
              <w:jc w:val="right"/>
              <w:rPr>
                <w:color w:val="9C0006"/>
                <w:sz w:val="21"/>
                <w:szCs w:val="21"/>
              </w:rPr>
            </w:pPr>
            <w:r w:rsidRPr="00330241">
              <w:rPr>
                <w:color w:val="9C0006"/>
                <w:sz w:val="21"/>
                <w:szCs w:val="21"/>
              </w:rPr>
              <w:t>-8.06</w:t>
            </w:r>
          </w:p>
        </w:tc>
        <w:tc>
          <w:tcPr>
            <w:tcW w:w="1890" w:type="dxa"/>
            <w:noWrap/>
            <w:vAlign w:val="bottom"/>
            <w:hideMark/>
          </w:tcPr>
          <w:p w14:paraId="02700C44" w14:textId="77777777" w:rsidR="00330241" w:rsidRPr="00330241" w:rsidRDefault="00330241" w:rsidP="00330241">
            <w:pPr>
              <w:jc w:val="right"/>
              <w:rPr>
                <w:color w:val="9C0006"/>
                <w:sz w:val="21"/>
                <w:szCs w:val="21"/>
              </w:rPr>
            </w:pPr>
            <w:r w:rsidRPr="00330241">
              <w:rPr>
                <w:color w:val="9C0006"/>
                <w:sz w:val="21"/>
                <w:szCs w:val="21"/>
              </w:rPr>
              <w:t>-1.02</w:t>
            </w:r>
          </w:p>
        </w:tc>
      </w:tr>
      <w:tr w:rsidR="00330241" w:rsidRPr="00330241" w14:paraId="6BC93EF7" w14:textId="77777777" w:rsidTr="00330241">
        <w:trPr>
          <w:trHeight w:val="300"/>
        </w:trPr>
        <w:tc>
          <w:tcPr>
            <w:tcW w:w="1278" w:type="dxa"/>
            <w:shd w:val="clear" w:color="000000" w:fill="FFFFFF"/>
            <w:noWrap/>
            <w:vAlign w:val="bottom"/>
            <w:hideMark/>
          </w:tcPr>
          <w:p w14:paraId="6E515F0C" w14:textId="77777777" w:rsidR="00330241" w:rsidRPr="00330241" w:rsidRDefault="00330241" w:rsidP="00330241">
            <w:pPr>
              <w:rPr>
                <w:color w:val="000000"/>
                <w:sz w:val="21"/>
                <w:szCs w:val="21"/>
              </w:rPr>
            </w:pPr>
            <w:r w:rsidRPr="00330241">
              <w:rPr>
                <w:color w:val="000000"/>
                <w:sz w:val="21"/>
                <w:szCs w:val="21"/>
              </w:rPr>
              <w:t>RF</w:t>
            </w:r>
          </w:p>
        </w:tc>
        <w:tc>
          <w:tcPr>
            <w:tcW w:w="998" w:type="dxa"/>
            <w:noWrap/>
            <w:vAlign w:val="bottom"/>
            <w:hideMark/>
          </w:tcPr>
          <w:p w14:paraId="42B84752" w14:textId="77777777" w:rsidR="00330241" w:rsidRPr="00330241" w:rsidRDefault="00330241" w:rsidP="00330241">
            <w:pPr>
              <w:jc w:val="right"/>
              <w:rPr>
                <w:color w:val="9C0006"/>
                <w:sz w:val="21"/>
                <w:szCs w:val="21"/>
              </w:rPr>
            </w:pPr>
            <w:r w:rsidRPr="00330241">
              <w:rPr>
                <w:color w:val="9C0006"/>
                <w:sz w:val="21"/>
                <w:szCs w:val="21"/>
              </w:rPr>
              <w:t>-12.22</w:t>
            </w:r>
          </w:p>
        </w:tc>
        <w:tc>
          <w:tcPr>
            <w:tcW w:w="960" w:type="dxa"/>
            <w:noWrap/>
            <w:vAlign w:val="bottom"/>
            <w:hideMark/>
          </w:tcPr>
          <w:p w14:paraId="3294E749" w14:textId="77777777" w:rsidR="00330241" w:rsidRPr="00330241" w:rsidRDefault="00330241" w:rsidP="00330241">
            <w:pPr>
              <w:jc w:val="right"/>
              <w:rPr>
                <w:color w:val="000000"/>
                <w:sz w:val="21"/>
                <w:szCs w:val="21"/>
              </w:rPr>
            </w:pPr>
            <w:r w:rsidRPr="00330241">
              <w:rPr>
                <w:color w:val="000000"/>
                <w:sz w:val="21"/>
                <w:szCs w:val="21"/>
              </w:rPr>
              <w:t>27.45</w:t>
            </w:r>
          </w:p>
        </w:tc>
        <w:tc>
          <w:tcPr>
            <w:tcW w:w="960" w:type="dxa"/>
            <w:noWrap/>
            <w:vAlign w:val="bottom"/>
            <w:hideMark/>
          </w:tcPr>
          <w:p w14:paraId="1579B4D6" w14:textId="77777777" w:rsidR="00330241" w:rsidRPr="00330241" w:rsidRDefault="00330241" w:rsidP="00330241">
            <w:pPr>
              <w:jc w:val="right"/>
              <w:rPr>
                <w:color w:val="000000"/>
                <w:sz w:val="21"/>
                <w:szCs w:val="21"/>
              </w:rPr>
            </w:pPr>
            <w:r w:rsidRPr="00330241">
              <w:rPr>
                <w:color w:val="000000"/>
                <w:sz w:val="21"/>
                <w:szCs w:val="21"/>
              </w:rPr>
              <w:t>18.60</w:t>
            </w:r>
          </w:p>
        </w:tc>
        <w:tc>
          <w:tcPr>
            <w:tcW w:w="1197" w:type="dxa"/>
            <w:noWrap/>
            <w:vAlign w:val="bottom"/>
            <w:hideMark/>
          </w:tcPr>
          <w:p w14:paraId="791B3CFF" w14:textId="77777777" w:rsidR="00330241" w:rsidRPr="00330241" w:rsidRDefault="00330241" w:rsidP="00330241">
            <w:pPr>
              <w:jc w:val="right"/>
              <w:rPr>
                <w:color w:val="9C0006"/>
                <w:sz w:val="21"/>
                <w:szCs w:val="21"/>
              </w:rPr>
            </w:pPr>
            <w:r w:rsidRPr="00330241">
              <w:rPr>
                <w:color w:val="9C0006"/>
                <w:sz w:val="21"/>
                <w:szCs w:val="21"/>
              </w:rPr>
              <w:t>-1.01</w:t>
            </w:r>
          </w:p>
        </w:tc>
        <w:tc>
          <w:tcPr>
            <w:tcW w:w="1892" w:type="dxa"/>
            <w:noWrap/>
            <w:vAlign w:val="bottom"/>
            <w:hideMark/>
          </w:tcPr>
          <w:p w14:paraId="24FFF8E0" w14:textId="77777777" w:rsidR="00330241" w:rsidRPr="00330241" w:rsidRDefault="00330241" w:rsidP="00330241">
            <w:pPr>
              <w:jc w:val="right"/>
              <w:rPr>
                <w:color w:val="9C0006"/>
                <w:sz w:val="21"/>
                <w:szCs w:val="21"/>
              </w:rPr>
            </w:pPr>
            <w:r w:rsidRPr="00330241">
              <w:rPr>
                <w:color w:val="9C0006"/>
                <w:sz w:val="21"/>
                <w:szCs w:val="21"/>
              </w:rPr>
              <w:t>-2.37</w:t>
            </w:r>
          </w:p>
        </w:tc>
        <w:tc>
          <w:tcPr>
            <w:tcW w:w="1890" w:type="dxa"/>
            <w:noWrap/>
            <w:vAlign w:val="bottom"/>
            <w:hideMark/>
          </w:tcPr>
          <w:p w14:paraId="0AFB7522"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521DA54F" w14:textId="77777777" w:rsidTr="00330241">
        <w:trPr>
          <w:trHeight w:val="300"/>
        </w:trPr>
        <w:tc>
          <w:tcPr>
            <w:tcW w:w="1278" w:type="dxa"/>
            <w:shd w:val="clear" w:color="000000" w:fill="FFFFFF"/>
            <w:noWrap/>
            <w:vAlign w:val="bottom"/>
            <w:hideMark/>
          </w:tcPr>
          <w:p w14:paraId="22816A9D" w14:textId="77777777" w:rsidR="00330241" w:rsidRPr="00330241" w:rsidRDefault="00330241" w:rsidP="00330241">
            <w:pPr>
              <w:rPr>
                <w:color w:val="000000"/>
                <w:sz w:val="21"/>
                <w:szCs w:val="21"/>
              </w:rPr>
            </w:pPr>
            <w:r w:rsidRPr="00330241">
              <w:rPr>
                <w:color w:val="000000"/>
                <w:sz w:val="21"/>
                <w:szCs w:val="21"/>
              </w:rPr>
              <w:t>GB</w:t>
            </w:r>
          </w:p>
        </w:tc>
        <w:tc>
          <w:tcPr>
            <w:tcW w:w="998" w:type="dxa"/>
            <w:noWrap/>
            <w:vAlign w:val="bottom"/>
            <w:hideMark/>
          </w:tcPr>
          <w:p w14:paraId="59E3DDA1" w14:textId="77777777" w:rsidR="00330241" w:rsidRPr="00330241" w:rsidRDefault="00330241" w:rsidP="00330241">
            <w:pPr>
              <w:jc w:val="right"/>
              <w:rPr>
                <w:color w:val="000000"/>
                <w:sz w:val="21"/>
                <w:szCs w:val="21"/>
              </w:rPr>
            </w:pPr>
            <w:r w:rsidRPr="00330241">
              <w:rPr>
                <w:color w:val="000000"/>
                <w:sz w:val="21"/>
                <w:szCs w:val="21"/>
              </w:rPr>
              <w:t>33.22</w:t>
            </w:r>
          </w:p>
        </w:tc>
        <w:tc>
          <w:tcPr>
            <w:tcW w:w="960" w:type="dxa"/>
            <w:noWrap/>
            <w:vAlign w:val="bottom"/>
            <w:hideMark/>
          </w:tcPr>
          <w:p w14:paraId="15BA461A" w14:textId="77777777" w:rsidR="00330241" w:rsidRPr="00330241" w:rsidRDefault="00330241" w:rsidP="00330241">
            <w:pPr>
              <w:jc w:val="right"/>
              <w:rPr>
                <w:color w:val="000000"/>
                <w:sz w:val="21"/>
                <w:szCs w:val="21"/>
              </w:rPr>
            </w:pPr>
            <w:r w:rsidRPr="00330241">
              <w:rPr>
                <w:color w:val="000000"/>
                <w:sz w:val="21"/>
                <w:szCs w:val="21"/>
              </w:rPr>
              <w:t>1000.00</w:t>
            </w:r>
          </w:p>
        </w:tc>
        <w:tc>
          <w:tcPr>
            <w:tcW w:w="960" w:type="dxa"/>
            <w:noWrap/>
            <w:vAlign w:val="bottom"/>
            <w:hideMark/>
          </w:tcPr>
          <w:p w14:paraId="26201A68" w14:textId="77777777" w:rsidR="00330241" w:rsidRPr="00330241" w:rsidRDefault="00330241" w:rsidP="00330241">
            <w:pPr>
              <w:jc w:val="right"/>
              <w:rPr>
                <w:color w:val="000000"/>
                <w:sz w:val="21"/>
                <w:szCs w:val="21"/>
              </w:rPr>
            </w:pPr>
            <w:r w:rsidRPr="00330241">
              <w:rPr>
                <w:color w:val="000000"/>
                <w:sz w:val="21"/>
                <w:szCs w:val="21"/>
              </w:rPr>
              <w:t>1120.00</w:t>
            </w:r>
          </w:p>
        </w:tc>
        <w:tc>
          <w:tcPr>
            <w:tcW w:w="1197" w:type="dxa"/>
            <w:noWrap/>
            <w:vAlign w:val="bottom"/>
            <w:hideMark/>
          </w:tcPr>
          <w:p w14:paraId="38A1BBC8" w14:textId="77777777" w:rsidR="00330241" w:rsidRPr="00330241" w:rsidRDefault="00330241" w:rsidP="00330241">
            <w:pPr>
              <w:jc w:val="right"/>
              <w:rPr>
                <w:color w:val="9C0006"/>
                <w:sz w:val="21"/>
                <w:szCs w:val="21"/>
              </w:rPr>
            </w:pPr>
            <w:r w:rsidRPr="00330241">
              <w:rPr>
                <w:color w:val="9C0006"/>
                <w:sz w:val="21"/>
                <w:szCs w:val="21"/>
              </w:rPr>
              <w:t>-1.86</w:t>
            </w:r>
          </w:p>
        </w:tc>
        <w:tc>
          <w:tcPr>
            <w:tcW w:w="1892" w:type="dxa"/>
            <w:noWrap/>
            <w:vAlign w:val="bottom"/>
            <w:hideMark/>
          </w:tcPr>
          <w:p w14:paraId="2FADC3BF" w14:textId="77777777" w:rsidR="00330241" w:rsidRPr="00330241" w:rsidRDefault="00330241" w:rsidP="00330241">
            <w:pPr>
              <w:jc w:val="right"/>
              <w:rPr>
                <w:color w:val="000000"/>
                <w:sz w:val="21"/>
                <w:szCs w:val="21"/>
              </w:rPr>
            </w:pPr>
            <w:r w:rsidRPr="00330241">
              <w:rPr>
                <w:color w:val="000000"/>
                <w:sz w:val="21"/>
                <w:szCs w:val="21"/>
              </w:rPr>
              <w:t>0.39</w:t>
            </w:r>
          </w:p>
        </w:tc>
        <w:tc>
          <w:tcPr>
            <w:tcW w:w="1890" w:type="dxa"/>
            <w:noWrap/>
            <w:vAlign w:val="bottom"/>
            <w:hideMark/>
          </w:tcPr>
          <w:p w14:paraId="383B32EE" w14:textId="77777777" w:rsidR="00330241" w:rsidRPr="00330241" w:rsidRDefault="00330241" w:rsidP="00330241">
            <w:pPr>
              <w:jc w:val="right"/>
              <w:rPr>
                <w:color w:val="9C0006"/>
                <w:sz w:val="21"/>
                <w:szCs w:val="21"/>
              </w:rPr>
            </w:pPr>
            <w:r w:rsidRPr="00330241">
              <w:rPr>
                <w:color w:val="9C0006"/>
                <w:sz w:val="21"/>
                <w:szCs w:val="21"/>
              </w:rPr>
              <w:t>-3.65</w:t>
            </w:r>
          </w:p>
        </w:tc>
      </w:tr>
      <w:tr w:rsidR="00330241" w:rsidRPr="00330241" w14:paraId="1DFFA31D" w14:textId="77777777" w:rsidTr="00330241">
        <w:trPr>
          <w:trHeight w:val="300"/>
        </w:trPr>
        <w:tc>
          <w:tcPr>
            <w:tcW w:w="1278" w:type="dxa"/>
            <w:shd w:val="clear" w:color="000000" w:fill="FFFFFF"/>
            <w:noWrap/>
            <w:vAlign w:val="bottom"/>
            <w:hideMark/>
          </w:tcPr>
          <w:p w14:paraId="565BA12A" w14:textId="77777777" w:rsidR="00330241" w:rsidRPr="00330241" w:rsidRDefault="00330241" w:rsidP="00330241">
            <w:pPr>
              <w:rPr>
                <w:color w:val="000000"/>
                <w:sz w:val="21"/>
                <w:szCs w:val="21"/>
              </w:rPr>
            </w:pPr>
            <w:r w:rsidRPr="00330241">
              <w:rPr>
                <w:color w:val="000000"/>
                <w:sz w:val="21"/>
                <w:szCs w:val="21"/>
              </w:rPr>
              <w:t>XGB</w:t>
            </w:r>
          </w:p>
        </w:tc>
        <w:tc>
          <w:tcPr>
            <w:tcW w:w="998" w:type="dxa"/>
            <w:noWrap/>
            <w:vAlign w:val="bottom"/>
            <w:hideMark/>
          </w:tcPr>
          <w:p w14:paraId="14429D74" w14:textId="77777777" w:rsidR="00330241" w:rsidRPr="00330241" w:rsidRDefault="00330241" w:rsidP="00330241">
            <w:pPr>
              <w:jc w:val="right"/>
              <w:rPr>
                <w:color w:val="000000"/>
                <w:sz w:val="21"/>
                <w:szCs w:val="21"/>
              </w:rPr>
            </w:pPr>
            <w:r w:rsidRPr="00330241">
              <w:rPr>
                <w:color w:val="000000"/>
                <w:sz w:val="21"/>
                <w:szCs w:val="21"/>
              </w:rPr>
              <w:t>16.82</w:t>
            </w:r>
          </w:p>
        </w:tc>
        <w:tc>
          <w:tcPr>
            <w:tcW w:w="960" w:type="dxa"/>
            <w:noWrap/>
            <w:vAlign w:val="bottom"/>
            <w:hideMark/>
          </w:tcPr>
          <w:p w14:paraId="5A9F32C5" w14:textId="77777777" w:rsidR="00330241" w:rsidRPr="00330241" w:rsidRDefault="00330241" w:rsidP="00330241">
            <w:pPr>
              <w:jc w:val="right"/>
              <w:rPr>
                <w:color w:val="000000"/>
                <w:sz w:val="21"/>
                <w:szCs w:val="21"/>
              </w:rPr>
            </w:pPr>
            <w:r w:rsidRPr="00330241">
              <w:rPr>
                <w:color w:val="000000"/>
                <w:sz w:val="21"/>
                <w:szCs w:val="21"/>
              </w:rPr>
              <w:t>2.70</w:t>
            </w:r>
          </w:p>
        </w:tc>
        <w:tc>
          <w:tcPr>
            <w:tcW w:w="960" w:type="dxa"/>
            <w:noWrap/>
            <w:vAlign w:val="bottom"/>
            <w:hideMark/>
          </w:tcPr>
          <w:p w14:paraId="286BA249" w14:textId="77777777" w:rsidR="00330241" w:rsidRPr="00330241" w:rsidRDefault="00330241" w:rsidP="00330241">
            <w:pPr>
              <w:jc w:val="right"/>
              <w:rPr>
                <w:color w:val="000000"/>
                <w:sz w:val="21"/>
                <w:szCs w:val="21"/>
              </w:rPr>
            </w:pPr>
            <w:r w:rsidRPr="00330241">
              <w:rPr>
                <w:color w:val="000000"/>
                <w:sz w:val="21"/>
                <w:szCs w:val="21"/>
              </w:rPr>
              <w:t>6.35</w:t>
            </w:r>
          </w:p>
        </w:tc>
        <w:tc>
          <w:tcPr>
            <w:tcW w:w="1197" w:type="dxa"/>
            <w:noWrap/>
            <w:vAlign w:val="bottom"/>
            <w:hideMark/>
          </w:tcPr>
          <w:p w14:paraId="443D8184" w14:textId="77777777" w:rsidR="00330241" w:rsidRPr="00330241" w:rsidRDefault="00330241" w:rsidP="00330241">
            <w:pPr>
              <w:jc w:val="right"/>
              <w:rPr>
                <w:color w:val="000000"/>
                <w:sz w:val="21"/>
                <w:szCs w:val="21"/>
              </w:rPr>
            </w:pPr>
            <w:r w:rsidRPr="00330241">
              <w:rPr>
                <w:color w:val="000000"/>
                <w:sz w:val="21"/>
                <w:szCs w:val="21"/>
              </w:rPr>
              <w:t>0.17</w:t>
            </w:r>
          </w:p>
        </w:tc>
        <w:tc>
          <w:tcPr>
            <w:tcW w:w="1892" w:type="dxa"/>
            <w:noWrap/>
            <w:vAlign w:val="bottom"/>
            <w:hideMark/>
          </w:tcPr>
          <w:p w14:paraId="069E8B3C" w14:textId="77777777" w:rsidR="00330241" w:rsidRPr="00330241" w:rsidRDefault="00330241" w:rsidP="00330241">
            <w:pPr>
              <w:jc w:val="right"/>
              <w:rPr>
                <w:color w:val="9C0006"/>
                <w:sz w:val="21"/>
                <w:szCs w:val="21"/>
              </w:rPr>
            </w:pPr>
            <w:r w:rsidRPr="00330241">
              <w:rPr>
                <w:color w:val="9C0006"/>
                <w:sz w:val="21"/>
                <w:szCs w:val="21"/>
              </w:rPr>
              <w:t>-4.44</w:t>
            </w:r>
          </w:p>
        </w:tc>
        <w:tc>
          <w:tcPr>
            <w:tcW w:w="1890" w:type="dxa"/>
            <w:noWrap/>
            <w:vAlign w:val="bottom"/>
            <w:hideMark/>
          </w:tcPr>
          <w:p w14:paraId="0B502DF4" w14:textId="77777777" w:rsidR="00330241" w:rsidRPr="00330241" w:rsidRDefault="00330241" w:rsidP="00330241">
            <w:pPr>
              <w:jc w:val="right"/>
              <w:rPr>
                <w:color w:val="9C0006"/>
                <w:sz w:val="21"/>
                <w:szCs w:val="21"/>
              </w:rPr>
            </w:pPr>
            <w:r w:rsidRPr="00330241">
              <w:rPr>
                <w:color w:val="9C0006"/>
                <w:sz w:val="21"/>
                <w:szCs w:val="21"/>
              </w:rPr>
              <w:t>-1.32</w:t>
            </w:r>
          </w:p>
        </w:tc>
      </w:tr>
      <w:tr w:rsidR="00330241" w:rsidRPr="00330241" w14:paraId="1F39F707" w14:textId="77777777" w:rsidTr="00330241">
        <w:trPr>
          <w:trHeight w:val="300"/>
        </w:trPr>
        <w:tc>
          <w:tcPr>
            <w:tcW w:w="1278" w:type="dxa"/>
            <w:shd w:val="clear" w:color="000000" w:fill="FFFFFF"/>
            <w:noWrap/>
            <w:vAlign w:val="bottom"/>
            <w:hideMark/>
          </w:tcPr>
          <w:p w14:paraId="73214F39" w14:textId="77777777" w:rsidR="00330241" w:rsidRPr="00330241" w:rsidRDefault="00330241" w:rsidP="00330241">
            <w:pPr>
              <w:rPr>
                <w:color w:val="000000"/>
                <w:sz w:val="21"/>
                <w:szCs w:val="21"/>
              </w:rPr>
            </w:pPr>
            <w:proofErr w:type="spellStart"/>
            <w:r w:rsidRPr="00330241">
              <w:rPr>
                <w:color w:val="000000"/>
                <w:sz w:val="21"/>
                <w:szCs w:val="21"/>
              </w:rPr>
              <w:t>LightGB</w:t>
            </w:r>
            <w:proofErr w:type="spellEnd"/>
          </w:p>
        </w:tc>
        <w:tc>
          <w:tcPr>
            <w:tcW w:w="998" w:type="dxa"/>
            <w:noWrap/>
            <w:vAlign w:val="bottom"/>
            <w:hideMark/>
          </w:tcPr>
          <w:p w14:paraId="5FE926AE" w14:textId="77777777" w:rsidR="00330241" w:rsidRPr="00330241" w:rsidRDefault="00330241" w:rsidP="00330241">
            <w:pPr>
              <w:jc w:val="right"/>
              <w:rPr>
                <w:color w:val="9C0006"/>
                <w:sz w:val="21"/>
                <w:szCs w:val="21"/>
              </w:rPr>
            </w:pPr>
            <w:r w:rsidRPr="00330241">
              <w:rPr>
                <w:color w:val="9C0006"/>
                <w:sz w:val="21"/>
                <w:szCs w:val="21"/>
              </w:rPr>
              <w:t>-7.21</w:t>
            </w:r>
          </w:p>
        </w:tc>
        <w:tc>
          <w:tcPr>
            <w:tcW w:w="960" w:type="dxa"/>
            <w:noWrap/>
            <w:vAlign w:val="bottom"/>
            <w:hideMark/>
          </w:tcPr>
          <w:p w14:paraId="0E7DCD7C" w14:textId="77777777" w:rsidR="00330241" w:rsidRPr="00330241" w:rsidRDefault="00330241" w:rsidP="00330241">
            <w:pPr>
              <w:jc w:val="right"/>
              <w:rPr>
                <w:color w:val="000000"/>
                <w:sz w:val="21"/>
                <w:szCs w:val="21"/>
              </w:rPr>
            </w:pPr>
            <w:r w:rsidRPr="00330241">
              <w:rPr>
                <w:color w:val="000000"/>
                <w:sz w:val="21"/>
                <w:szCs w:val="21"/>
              </w:rPr>
              <w:t>81.25</w:t>
            </w:r>
          </w:p>
        </w:tc>
        <w:tc>
          <w:tcPr>
            <w:tcW w:w="960" w:type="dxa"/>
            <w:noWrap/>
            <w:vAlign w:val="bottom"/>
            <w:hideMark/>
          </w:tcPr>
          <w:p w14:paraId="0B40D395" w14:textId="77777777" w:rsidR="00330241" w:rsidRPr="00330241" w:rsidRDefault="00330241" w:rsidP="00330241">
            <w:pPr>
              <w:jc w:val="right"/>
              <w:rPr>
                <w:color w:val="000000"/>
                <w:sz w:val="21"/>
                <w:szCs w:val="21"/>
              </w:rPr>
            </w:pPr>
            <w:r w:rsidRPr="00330241">
              <w:rPr>
                <w:color w:val="000000"/>
                <w:sz w:val="21"/>
                <w:szCs w:val="21"/>
              </w:rPr>
              <w:t>70.97</w:t>
            </w:r>
          </w:p>
        </w:tc>
        <w:tc>
          <w:tcPr>
            <w:tcW w:w="1197" w:type="dxa"/>
            <w:noWrap/>
            <w:vAlign w:val="bottom"/>
            <w:hideMark/>
          </w:tcPr>
          <w:p w14:paraId="5101C42F" w14:textId="77777777" w:rsidR="00330241" w:rsidRPr="00330241" w:rsidRDefault="00330241" w:rsidP="00330241">
            <w:pPr>
              <w:jc w:val="right"/>
              <w:rPr>
                <w:color w:val="000000"/>
                <w:sz w:val="21"/>
                <w:szCs w:val="21"/>
              </w:rPr>
            </w:pPr>
            <w:r w:rsidRPr="00330241">
              <w:rPr>
                <w:color w:val="000000"/>
                <w:sz w:val="21"/>
                <w:szCs w:val="21"/>
              </w:rPr>
              <w:t>1.62</w:t>
            </w:r>
          </w:p>
        </w:tc>
        <w:tc>
          <w:tcPr>
            <w:tcW w:w="1892" w:type="dxa"/>
            <w:noWrap/>
            <w:vAlign w:val="bottom"/>
            <w:hideMark/>
          </w:tcPr>
          <w:p w14:paraId="4BD01CBC" w14:textId="77777777" w:rsidR="00330241" w:rsidRPr="00330241" w:rsidRDefault="00330241" w:rsidP="00330241">
            <w:pPr>
              <w:jc w:val="right"/>
              <w:rPr>
                <w:color w:val="9C0006"/>
                <w:sz w:val="21"/>
                <w:szCs w:val="21"/>
              </w:rPr>
            </w:pPr>
            <w:r w:rsidRPr="00330241">
              <w:rPr>
                <w:color w:val="9C0006"/>
                <w:sz w:val="21"/>
                <w:szCs w:val="21"/>
              </w:rPr>
              <w:t>-0.42</w:t>
            </w:r>
          </w:p>
        </w:tc>
        <w:tc>
          <w:tcPr>
            <w:tcW w:w="1890" w:type="dxa"/>
            <w:noWrap/>
            <w:vAlign w:val="bottom"/>
            <w:hideMark/>
          </w:tcPr>
          <w:p w14:paraId="09EB3416" w14:textId="77777777" w:rsidR="00330241" w:rsidRPr="00330241" w:rsidRDefault="00330241" w:rsidP="00330241">
            <w:pPr>
              <w:jc w:val="right"/>
              <w:rPr>
                <w:color w:val="000000"/>
                <w:sz w:val="21"/>
                <w:szCs w:val="21"/>
              </w:rPr>
            </w:pPr>
            <w:r w:rsidRPr="00330241">
              <w:rPr>
                <w:color w:val="000000"/>
                <w:sz w:val="21"/>
                <w:szCs w:val="21"/>
              </w:rPr>
              <w:t>2.33</w:t>
            </w:r>
          </w:p>
        </w:tc>
      </w:tr>
      <w:tr w:rsidR="00330241" w:rsidRPr="00330241" w14:paraId="5CCE5C20" w14:textId="77777777" w:rsidTr="00330241">
        <w:trPr>
          <w:trHeight w:val="300"/>
        </w:trPr>
        <w:tc>
          <w:tcPr>
            <w:tcW w:w="1278" w:type="dxa"/>
            <w:shd w:val="clear" w:color="000000" w:fill="FFFFFF"/>
            <w:noWrap/>
            <w:vAlign w:val="bottom"/>
            <w:hideMark/>
          </w:tcPr>
          <w:p w14:paraId="0DC68284" w14:textId="77777777" w:rsidR="00330241" w:rsidRPr="00330241" w:rsidRDefault="00330241" w:rsidP="00330241">
            <w:pPr>
              <w:rPr>
                <w:color w:val="000000"/>
                <w:sz w:val="21"/>
                <w:szCs w:val="21"/>
              </w:rPr>
            </w:pPr>
            <w:proofErr w:type="spellStart"/>
            <w:r w:rsidRPr="00330241">
              <w:rPr>
                <w:color w:val="000000"/>
                <w:sz w:val="21"/>
                <w:szCs w:val="21"/>
              </w:rPr>
              <w:t>CatBoost</w:t>
            </w:r>
            <w:proofErr w:type="spellEnd"/>
          </w:p>
        </w:tc>
        <w:tc>
          <w:tcPr>
            <w:tcW w:w="998" w:type="dxa"/>
            <w:noWrap/>
            <w:vAlign w:val="bottom"/>
            <w:hideMark/>
          </w:tcPr>
          <w:p w14:paraId="1389B38F" w14:textId="77777777" w:rsidR="00330241" w:rsidRPr="00330241" w:rsidRDefault="00330241" w:rsidP="00330241">
            <w:pPr>
              <w:jc w:val="right"/>
              <w:rPr>
                <w:color w:val="000000"/>
                <w:sz w:val="21"/>
                <w:szCs w:val="21"/>
              </w:rPr>
            </w:pPr>
            <w:r w:rsidRPr="00330241">
              <w:rPr>
                <w:color w:val="000000"/>
                <w:sz w:val="21"/>
                <w:szCs w:val="21"/>
              </w:rPr>
              <w:t>29.10</w:t>
            </w:r>
          </w:p>
        </w:tc>
        <w:tc>
          <w:tcPr>
            <w:tcW w:w="960" w:type="dxa"/>
            <w:noWrap/>
            <w:vAlign w:val="bottom"/>
            <w:hideMark/>
          </w:tcPr>
          <w:p w14:paraId="24BA31DE" w14:textId="77777777" w:rsidR="00330241" w:rsidRPr="00330241" w:rsidRDefault="00330241" w:rsidP="00330241">
            <w:pPr>
              <w:jc w:val="right"/>
              <w:rPr>
                <w:color w:val="000000"/>
                <w:sz w:val="21"/>
                <w:szCs w:val="21"/>
              </w:rPr>
            </w:pPr>
            <w:r w:rsidRPr="00330241">
              <w:rPr>
                <w:color w:val="000000"/>
                <w:sz w:val="21"/>
                <w:szCs w:val="21"/>
              </w:rPr>
              <w:t>185.71</w:t>
            </w:r>
          </w:p>
        </w:tc>
        <w:tc>
          <w:tcPr>
            <w:tcW w:w="960" w:type="dxa"/>
            <w:noWrap/>
            <w:vAlign w:val="bottom"/>
            <w:hideMark/>
          </w:tcPr>
          <w:p w14:paraId="1617DEFA" w14:textId="77777777" w:rsidR="00330241" w:rsidRPr="00330241" w:rsidRDefault="00330241" w:rsidP="00330241">
            <w:pPr>
              <w:jc w:val="right"/>
              <w:rPr>
                <w:color w:val="000000"/>
                <w:sz w:val="21"/>
                <w:szCs w:val="21"/>
              </w:rPr>
            </w:pPr>
            <w:r w:rsidRPr="00330241">
              <w:rPr>
                <w:color w:val="000000"/>
                <w:sz w:val="21"/>
                <w:szCs w:val="21"/>
              </w:rPr>
              <w:t>173.08</w:t>
            </w:r>
          </w:p>
        </w:tc>
        <w:tc>
          <w:tcPr>
            <w:tcW w:w="1197" w:type="dxa"/>
            <w:noWrap/>
            <w:vAlign w:val="bottom"/>
            <w:hideMark/>
          </w:tcPr>
          <w:p w14:paraId="2CD1E1AE" w14:textId="77777777" w:rsidR="00330241" w:rsidRPr="00330241" w:rsidRDefault="00330241" w:rsidP="00330241">
            <w:pPr>
              <w:jc w:val="right"/>
              <w:rPr>
                <w:color w:val="9C0006"/>
                <w:sz w:val="21"/>
                <w:szCs w:val="21"/>
              </w:rPr>
            </w:pPr>
            <w:r w:rsidRPr="00330241">
              <w:rPr>
                <w:color w:val="9C0006"/>
                <w:sz w:val="21"/>
                <w:szCs w:val="21"/>
              </w:rPr>
              <w:t>-1.11</w:t>
            </w:r>
          </w:p>
        </w:tc>
        <w:tc>
          <w:tcPr>
            <w:tcW w:w="1892" w:type="dxa"/>
            <w:noWrap/>
            <w:vAlign w:val="bottom"/>
            <w:hideMark/>
          </w:tcPr>
          <w:p w14:paraId="0ACBA748" w14:textId="77777777" w:rsidR="00330241" w:rsidRPr="00330241" w:rsidRDefault="00330241" w:rsidP="00330241">
            <w:pPr>
              <w:jc w:val="right"/>
              <w:rPr>
                <w:color w:val="9C0006"/>
                <w:sz w:val="21"/>
                <w:szCs w:val="21"/>
              </w:rPr>
            </w:pPr>
            <w:r w:rsidRPr="00330241">
              <w:rPr>
                <w:color w:val="9C0006"/>
                <w:sz w:val="21"/>
                <w:szCs w:val="21"/>
              </w:rPr>
              <w:t>-5.36</w:t>
            </w:r>
          </w:p>
        </w:tc>
        <w:tc>
          <w:tcPr>
            <w:tcW w:w="1890" w:type="dxa"/>
            <w:noWrap/>
            <w:vAlign w:val="bottom"/>
            <w:hideMark/>
          </w:tcPr>
          <w:p w14:paraId="41DD2B2E" w14:textId="77777777" w:rsidR="00330241" w:rsidRPr="00330241" w:rsidRDefault="00330241" w:rsidP="00330241">
            <w:pPr>
              <w:jc w:val="right"/>
              <w:rPr>
                <w:color w:val="9C0006"/>
                <w:sz w:val="21"/>
                <w:szCs w:val="21"/>
              </w:rPr>
            </w:pPr>
            <w:r w:rsidRPr="00330241">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2E8DCE70" w:rsidR="001374E7" w:rsidRDefault="001374E7" w:rsidP="008A626F">
      <w:pPr>
        <w:rPr>
          <w:lang w:eastAsia="en-US"/>
        </w:rPr>
      </w:pPr>
    </w:p>
    <w:p w14:paraId="1135596F" w14:textId="77777777" w:rsidR="00840AE9" w:rsidRDefault="00840AE9"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lastRenderedPageBreak/>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095EE2">
              <w:rPr>
                <w:color w:val="000000"/>
                <w:sz w:val="21"/>
                <w:szCs w:val="21"/>
              </w:rPr>
              <w:t>262</w:t>
            </w:r>
            <w:r w:rsidR="008769A5" w:rsidRPr="00095EE2">
              <w:rPr>
                <w:color w:val="000000"/>
                <w:sz w:val="21"/>
                <w:szCs w:val="21"/>
              </w:rPr>
              <w:t xml:space="preserve"> </w:t>
            </w:r>
            <w:r w:rsidRPr="00095EE2">
              <w:rPr>
                <w:color w:val="000000"/>
                <w:sz w:val="21"/>
                <w:szCs w:val="21"/>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095EE2">
              <w:rPr>
                <w:color w:val="000000"/>
                <w:sz w:val="21"/>
                <w:szCs w:val="21"/>
              </w:rPr>
              <w:t>493</w:t>
            </w:r>
            <w:r w:rsidR="008769A5" w:rsidRPr="00095EE2">
              <w:rPr>
                <w:color w:val="000000"/>
                <w:sz w:val="21"/>
                <w:szCs w:val="21"/>
              </w:rPr>
              <w:t xml:space="preserve"> </w:t>
            </w:r>
            <w:r w:rsidRPr="00095EE2">
              <w:rPr>
                <w:color w:val="000000"/>
                <w:sz w:val="21"/>
                <w:szCs w:val="21"/>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713046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lastRenderedPageBreak/>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40BA2B14"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443FF3">
        <w:rPr>
          <w:rStyle w:val="FootnoteReference"/>
        </w:rPr>
        <w:footnoteReference w:id="2"/>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 xml:space="preserve">Target% in top 20%,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08FB04CF" w:rsidR="00CB1A51" w:rsidRPr="00192843" w:rsidRDefault="00192843" w:rsidP="005D5867">
      <w:pPr>
        <w:rPr>
          <w:i/>
          <w:iCs/>
          <w:color w:val="000000"/>
        </w:rPr>
      </w:pPr>
      <w:r>
        <w:rPr>
          <w:i/>
          <w:iCs/>
          <w:color w:val="000000"/>
        </w:rPr>
        <w:t xml:space="preserve">  </w:t>
      </w:r>
      <w:r w:rsidR="00F171AE" w:rsidRPr="00BE0A42">
        <w:rPr>
          <w:i/>
          <w:iCs/>
          <w:color w:val="000000"/>
        </w:rPr>
        <w:t>Cumulative Lift</w:t>
      </w:r>
      <w:r w:rsidR="001F0392">
        <w:rPr>
          <w:color w:val="000000"/>
        </w:rPr>
        <w:t xml:space="preserve"> </w:t>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CB3EDB" w:rsidRPr="004B72C8" w:rsidRDefault="00CB3EDB"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A85B1" id="_x0000_t202" coordsize="21600,21600" o:spt="202" path="m,l,21600r21600,l21600,xe">
                <v:stroke joinstyle="miter"/>
                <v:path gradientshapeok="t" o:connecttype="rect"/>
              </v:shapetype>
              <v:shape id="Text Box 3" o:spid="_x0000_s1026"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CReSAIAAKA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" fillcolor="white [3201]" strokeweight=".5pt">
                <v:textbox>
                  <w:txbxContent>
                    <w:p w14:paraId="780BA4B6" w14:textId="6C092A60" w:rsidR="00CB3EDB" w:rsidRPr="004B72C8" w:rsidRDefault="00CB3EDB"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CB3EDB" w:rsidRPr="004B72C8" w:rsidRDefault="00CB3EDB"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7"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" fillcolor="white [3201]" strokeweight=".5pt">
                <v:textbox>
                  <w:txbxContent>
                    <w:p w14:paraId="564C5A8B" w14:textId="11C6C1F7" w:rsidR="00CB3EDB" w:rsidRPr="004B72C8" w:rsidRDefault="00CB3EDB"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6A2A56B8"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is it</w:t>
      </w:r>
      <w:r w:rsidR="00B4790E">
        <w:t xml:space="preserve">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713046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3D83A5BD"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C7159B">
        <w:rPr>
          <w:rFonts w:ascii="Times New Roman" w:hAnsi="Times New Roman" w:cs="Times New Roman"/>
          <w:i/>
          <w:iCs/>
          <w:color w:val="000000"/>
          <w:sz w:val="24"/>
          <w:szCs w:val="24"/>
        </w:rPr>
        <w:t xml:space="preserve">Target% in top 20%, </w:t>
      </w:r>
      <w:r w:rsidR="008D2CA0">
        <w:rPr>
          <w:rFonts w:ascii="Times New Roman" w:hAnsi="Times New Roman" w:cs="Times New Roman"/>
          <w:i/>
          <w:iCs/>
          <w:color w:val="000000"/>
          <w:sz w:val="24"/>
          <w:szCs w:val="24"/>
        </w:rPr>
        <w:t>Target in top 50%</w:t>
      </w:r>
      <w:r w:rsidR="00C7159B">
        <w:rPr>
          <w:rFonts w:ascii="Times New Roman" w:hAnsi="Times New Roman" w:cs="Times New Roman"/>
          <w:i/>
          <w:iCs/>
          <w:color w:val="000000"/>
          <w:sz w:val="24"/>
          <w:szCs w:val="24"/>
        </w:rPr>
        <w:t>, Target% in top 50%.</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713046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66113CA9" w14:textId="3E5109B8" w:rsidR="00F068F9" w:rsidRPr="00F068F9" w:rsidRDefault="00F068F9" w:rsidP="00B10694">
      <w:pPr>
        <w:pStyle w:val="ListParagraph"/>
        <w:numPr>
          <w:ilvl w:val="1"/>
          <w:numId w:val="19"/>
        </w:numPr>
        <w:rPr>
          <w:rFonts w:ascii="Times New Roman" w:hAnsi="Times New Roman" w:cs="Times New Roman"/>
          <w:color w:val="000000"/>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Target% in top 20%, Target in top 50%, Target% in top 50%.</w:t>
      </w:r>
    </w:p>
    <w:p w14:paraId="5E131725" w14:textId="6FA69E3B"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A25581" w:rsidRDefault="005B5AEC" w:rsidP="006F58BE">
            <w:pPr>
              <w:jc w:val="center"/>
              <w:rPr>
                <w:color w:val="000000"/>
                <w:sz w:val="21"/>
                <w:szCs w:val="21"/>
              </w:rPr>
            </w:pPr>
            <w:r w:rsidRPr="00A25581">
              <w:rPr>
                <w:color w:val="000000"/>
                <w:sz w:val="21"/>
                <w:szCs w:val="21"/>
              </w:rPr>
              <w:t>0.5</w:t>
            </w:r>
            <w:r w:rsidR="00D82989" w:rsidRPr="00A25581">
              <w:rPr>
                <w:color w:val="000000"/>
                <w:sz w:val="21"/>
                <w:szCs w:val="21"/>
              </w:rPr>
              <w:t>00</w:t>
            </w:r>
          </w:p>
        </w:tc>
        <w:tc>
          <w:tcPr>
            <w:tcW w:w="902" w:type="dxa"/>
            <w:shd w:val="clear" w:color="000000" w:fill="FFFFFF"/>
            <w:noWrap/>
            <w:vAlign w:val="bottom"/>
            <w:hideMark/>
          </w:tcPr>
          <w:p w14:paraId="78CB869D" w14:textId="77777777" w:rsidR="005B5AEC" w:rsidRPr="00A25581" w:rsidRDefault="005B5AEC" w:rsidP="006F58BE">
            <w:pPr>
              <w:jc w:val="center"/>
              <w:rPr>
                <w:color w:val="000000"/>
                <w:sz w:val="21"/>
                <w:szCs w:val="21"/>
              </w:rPr>
            </w:pPr>
            <w:r w:rsidRPr="00A25581">
              <w:rPr>
                <w:color w:val="000000"/>
                <w:sz w:val="21"/>
                <w:szCs w:val="21"/>
              </w:rPr>
              <w:t>0.005</w:t>
            </w:r>
          </w:p>
        </w:tc>
        <w:tc>
          <w:tcPr>
            <w:tcW w:w="900" w:type="dxa"/>
            <w:shd w:val="clear" w:color="000000" w:fill="FFFFFF"/>
            <w:noWrap/>
            <w:vAlign w:val="bottom"/>
            <w:hideMark/>
          </w:tcPr>
          <w:p w14:paraId="32F829B3" w14:textId="77777777" w:rsidR="005B5AEC" w:rsidRPr="00A25581" w:rsidRDefault="005B5AEC" w:rsidP="006F58BE">
            <w:pPr>
              <w:jc w:val="center"/>
              <w:rPr>
                <w:color w:val="000000"/>
                <w:sz w:val="21"/>
                <w:szCs w:val="21"/>
              </w:rPr>
            </w:pPr>
            <w:r w:rsidRPr="00A25581">
              <w:rPr>
                <w:color w:val="000000"/>
                <w:sz w:val="21"/>
                <w:szCs w:val="21"/>
              </w:rPr>
              <w:t>0.011</w:t>
            </w:r>
          </w:p>
        </w:tc>
        <w:tc>
          <w:tcPr>
            <w:tcW w:w="1260" w:type="dxa"/>
            <w:shd w:val="clear" w:color="000000" w:fill="FFFFFF"/>
            <w:noWrap/>
            <w:vAlign w:val="bottom"/>
            <w:hideMark/>
          </w:tcPr>
          <w:p w14:paraId="75648AD2" w14:textId="77777777" w:rsidR="005B5AEC" w:rsidRPr="00A25581" w:rsidRDefault="005B5AEC" w:rsidP="006F58BE">
            <w:pPr>
              <w:jc w:val="center"/>
              <w:rPr>
                <w:color w:val="000000"/>
                <w:sz w:val="21"/>
                <w:szCs w:val="21"/>
              </w:rPr>
            </w:pPr>
            <w:r w:rsidRPr="00A25581">
              <w:rPr>
                <w:color w:val="000000"/>
                <w:sz w:val="21"/>
                <w:szCs w:val="21"/>
              </w:rPr>
              <w:t>0.662</w:t>
            </w:r>
          </w:p>
        </w:tc>
        <w:tc>
          <w:tcPr>
            <w:tcW w:w="900" w:type="dxa"/>
            <w:noWrap/>
            <w:vAlign w:val="bottom"/>
            <w:hideMark/>
          </w:tcPr>
          <w:p w14:paraId="2D2E8F7A" w14:textId="77777777" w:rsidR="005B5AEC" w:rsidRPr="00A25581" w:rsidRDefault="005B5AEC" w:rsidP="00D82989">
            <w:pPr>
              <w:jc w:val="center"/>
              <w:rPr>
                <w:color w:val="000000"/>
                <w:sz w:val="21"/>
                <w:szCs w:val="21"/>
              </w:rPr>
            </w:pPr>
            <w:r w:rsidRPr="00A25581">
              <w:rPr>
                <w:color w:val="000000"/>
                <w:sz w:val="21"/>
                <w:szCs w:val="21"/>
              </w:rPr>
              <w:t>275</w:t>
            </w:r>
          </w:p>
        </w:tc>
        <w:tc>
          <w:tcPr>
            <w:tcW w:w="1128" w:type="dxa"/>
            <w:shd w:val="clear" w:color="000000" w:fill="FFFFFF"/>
            <w:noWrap/>
            <w:vAlign w:val="bottom"/>
            <w:hideMark/>
          </w:tcPr>
          <w:p w14:paraId="6E431874" w14:textId="77777777" w:rsidR="005B5AEC" w:rsidRPr="00A25581" w:rsidRDefault="005B5AEC" w:rsidP="00D82989">
            <w:pPr>
              <w:jc w:val="center"/>
              <w:rPr>
                <w:color w:val="000000"/>
                <w:sz w:val="21"/>
                <w:szCs w:val="21"/>
              </w:rPr>
            </w:pPr>
            <w:r w:rsidRPr="00A25581">
              <w:rPr>
                <w:color w:val="000000"/>
                <w:sz w:val="21"/>
                <w:szCs w:val="21"/>
              </w:rPr>
              <w:t>37.8%</w:t>
            </w:r>
          </w:p>
        </w:tc>
        <w:tc>
          <w:tcPr>
            <w:tcW w:w="808" w:type="dxa"/>
            <w:shd w:val="clear" w:color="000000" w:fill="FFFFFF"/>
            <w:noWrap/>
            <w:vAlign w:val="bottom"/>
            <w:hideMark/>
          </w:tcPr>
          <w:p w14:paraId="1F0E11E1" w14:textId="77777777" w:rsidR="005B5AEC" w:rsidRPr="00A25581" w:rsidRDefault="005B5AEC" w:rsidP="00D82989">
            <w:pPr>
              <w:jc w:val="center"/>
              <w:rPr>
                <w:color w:val="000000"/>
                <w:sz w:val="21"/>
                <w:szCs w:val="21"/>
              </w:rPr>
            </w:pPr>
            <w:r w:rsidRPr="00A25581">
              <w:rPr>
                <w:color w:val="000000"/>
                <w:sz w:val="21"/>
                <w:szCs w:val="21"/>
              </w:rPr>
              <w:t>514</w:t>
            </w:r>
          </w:p>
        </w:tc>
        <w:tc>
          <w:tcPr>
            <w:tcW w:w="939" w:type="dxa"/>
            <w:noWrap/>
            <w:vAlign w:val="bottom"/>
            <w:hideMark/>
          </w:tcPr>
          <w:p w14:paraId="79D0A267" w14:textId="77777777" w:rsidR="005B5AEC" w:rsidRPr="00A25581" w:rsidRDefault="005B5AEC" w:rsidP="00D82989">
            <w:pPr>
              <w:jc w:val="center"/>
              <w:rPr>
                <w:color w:val="000000"/>
                <w:sz w:val="21"/>
                <w:szCs w:val="21"/>
              </w:rPr>
            </w:pPr>
            <w:r w:rsidRPr="00A25581">
              <w:rPr>
                <w:color w:val="000000"/>
                <w:sz w:val="21"/>
                <w:szCs w:val="21"/>
              </w:rPr>
              <w:t>70.6%</w:t>
            </w:r>
          </w:p>
        </w:tc>
      </w:tr>
    </w:tbl>
    <w:p w14:paraId="16578A35" w14:textId="4CDC36EB"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150215">
        <w:rPr>
          <w:b/>
          <w:bCs/>
        </w:rPr>
        <w:t>275</w:t>
      </w:r>
      <w:r w:rsidR="00535412">
        <w:t xml:space="preserve">, which is 37.8% of </w:t>
      </w:r>
      <w:r w:rsidR="00C12E89">
        <w:t xml:space="preserve">Target enrollees and </w:t>
      </w:r>
      <w:r w:rsidR="00C12E89" w:rsidRPr="00150215">
        <w:rPr>
          <w:b/>
          <w:bCs/>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713046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F1369B" w:rsidRDefault="00C54A07" w:rsidP="00B964BD">
            <w:pPr>
              <w:jc w:val="center"/>
              <w:rPr>
                <w:color w:val="000000"/>
                <w:sz w:val="21"/>
                <w:szCs w:val="21"/>
              </w:rPr>
            </w:pPr>
            <w:r w:rsidRPr="00F1369B">
              <w:rPr>
                <w:color w:val="000000"/>
                <w:sz w:val="21"/>
                <w:szCs w:val="21"/>
              </w:rPr>
              <w:t>283</w:t>
            </w:r>
          </w:p>
        </w:tc>
        <w:tc>
          <w:tcPr>
            <w:tcW w:w="1012" w:type="dxa"/>
            <w:tcBorders>
              <w:bottom w:val="single" w:sz="4" w:space="0" w:color="auto"/>
            </w:tcBorders>
            <w:shd w:val="clear" w:color="000000" w:fill="FFFFFF"/>
            <w:noWrap/>
            <w:vAlign w:val="bottom"/>
            <w:hideMark/>
          </w:tcPr>
          <w:p w14:paraId="7C9679A2" w14:textId="77777777" w:rsidR="00C54A07" w:rsidRPr="00F1369B" w:rsidRDefault="00C54A07" w:rsidP="00B964BD">
            <w:pPr>
              <w:jc w:val="center"/>
              <w:rPr>
                <w:color w:val="000000"/>
                <w:sz w:val="21"/>
                <w:szCs w:val="21"/>
              </w:rPr>
            </w:pPr>
            <w:r w:rsidRPr="00F1369B">
              <w:rPr>
                <w:color w:val="000000"/>
                <w:sz w:val="21"/>
                <w:szCs w:val="21"/>
              </w:rPr>
              <w:t>38.9%</w:t>
            </w:r>
          </w:p>
        </w:tc>
        <w:tc>
          <w:tcPr>
            <w:tcW w:w="849" w:type="dxa"/>
            <w:tcBorders>
              <w:bottom w:val="single" w:sz="4" w:space="0" w:color="auto"/>
            </w:tcBorders>
            <w:shd w:val="clear" w:color="000000" w:fill="FFFFFF"/>
            <w:noWrap/>
            <w:vAlign w:val="bottom"/>
            <w:hideMark/>
          </w:tcPr>
          <w:p w14:paraId="33C53742" w14:textId="77777777" w:rsidR="00C54A07" w:rsidRPr="00F1369B" w:rsidRDefault="00C54A07" w:rsidP="00B964BD">
            <w:pPr>
              <w:jc w:val="center"/>
              <w:rPr>
                <w:color w:val="000000"/>
                <w:sz w:val="21"/>
                <w:szCs w:val="21"/>
              </w:rPr>
            </w:pPr>
            <w:r w:rsidRPr="00F1369B">
              <w:rPr>
                <w:color w:val="000000"/>
                <w:sz w:val="21"/>
                <w:szCs w:val="21"/>
              </w:rPr>
              <w:t>515</w:t>
            </w:r>
          </w:p>
        </w:tc>
        <w:tc>
          <w:tcPr>
            <w:tcW w:w="961" w:type="dxa"/>
            <w:tcBorders>
              <w:bottom w:val="single" w:sz="4" w:space="0" w:color="auto"/>
            </w:tcBorders>
            <w:noWrap/>
            <w:vAlign w:val="bottom"/>
            <w:hideMark/>
          </w:tcPr>
          <w:p w14:paraId="2FE5BF1C" w14:textId="77777777" w:rsidR="00C54A07" w:rsidRPr="00F1369B" w:rsidRDefault="00C54A07" w:rsidP="00B964BD">
            <w:pPr>
              <w:jc w:val="center"/>
              <w:rPr>
                <w:color w:val="000000"/>
                <w:sz w:val="21"/>
                <w:szCs w:val="21"/>
              </w:rPr>
            </w:pPr>
            <w:r w:rsidRPr="00F1369B">
              <w:rPr>
                <w:color w:val="000000"/>
                <w:sz w:val="21"/>
                <w:szCs w:val="21"/>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D1662D3"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FD62A0">
        <w:rPr>
          <w:b/>
          <w:bCs/>
        </w:rPr>
        <w:t>increased</w:t>
      </w:r>
      <w:r>
        <w:t xml:space="preserve"> by 2% and 0.1%</w:t>
      </w:r>
      <w:r w:rsidR="00D91E17">
        <w:t xml:space="preserve"> due to the improvement in</w:t>
      </w:r>
      <w:r w:rsidR="00FA1FC6">
        <w:t xml:space="preserve"> Lift</w:t>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 xml:space="preserve">ROC curve of </w:t>
      </w:r>
      <w:r w:rsidR="00962458">
        <w:lastRenderedPageBreak/>
        <w:t>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61985CA1"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proofErr w:type="gramStart"/>
      <w:r w:rsidR="0035692E">
        <w:rPr>
          <w:i/>
          <w:iCs/>
        </w:rPr>
        <w:t>Cum</w:t>
      </w:r>
      <w:proofErr w:type="gramEnd"/>
      <w:r w:rsidR="0035692E">
        <w:rPr>
          <w:i/>
          <w:iCs/>
        </w:rPr>
        <w:t>.Lift</w:t>
      </w:r>
      <w:proofErr w:type="spellEnd"/>
      <w:r w:rsidR="0035692E">
        <w:rPr>
          <w:i/>
          <w:iCs/>
        </w:rPr>
        <w:t xml:space="preserve"> table </w:t>
      </w:r>
      <w:r>
        <w:rPr>
          <w:i/>
          <w:iCs/>
        </w:rPr>
        <w:t>before</w:t>
      </w:r>
      <w:r w:rsidR="00522284">
        <w:rPr>
          <w:i/>
          <w:iCs/>
        </w:rPr>
        <w:t xml:space="preserve"> (left) and after</w:t>
      </w:r>
      <w:r>
        <w:rPr>
          <w:i/>
          <w:iCs/>
        </w:rPr>
        <w:t xml:space="preserve"> tune</w:t>
      </w:r>
      <w:r w:rsidR="00522284">
        <w:rPr>
          <w:i/>
          <w:iCs/>
        </w:rPr>
        <w:t>d</w:t>
      </w:r>
      <w:r w:rsidR="0035692E">
        <w:rPr>
          <w:i/>
          <w:iCs/>
        </w:rPr>
        <w:t xml:space="preserve"> </w:t>
      </w:r>
      <w:r w:rsidR="00522284">
        <w:rPr>
          <w:i/>
          <w:iCs/>
        </w:rPr>
        <w:t>(right)</w:t>
      </w:r>
      <w:r w:rsidR="0035692E">
        <w:rPr>
          <w:i/>
          <w:iCs/>
        </w:rPr>
        <w:t xml:space="preserve"> </w:t>
      </w:r>
      <w:r w:rsidR="005E7FC9">
        <w:rPr>
          <w:i/>
          <w:iCs/>
        </w:rPr>
        <w:t xml:space="preserve"> </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67EC86E2" w14:textId="77777777" w:rsidR="00431A4A" w:rsidRDefault="00D77571" w:rsidP="0020772A">
            <w:pPr>
              <w:rPr>
                <w:sz w:val="21"/>
                <w:szCs w:val="21"/>
              </w:rPr>
            </w:pPr>
            <w:r>
              <w:rPr>
                <w:sz w:val="21"/>
                <w:szCs w:val="21"/>
              </w:rPr>
              <w:t>N</w:t>
            </w:r>
            <w:r w:rsidR="0020772A">
              <w:rPr>
                <w:sz w:val="21"/>
                <w:szCs w:val="21"/>
              </w:rPr>
              <w:t>on</w:t>
            </w:r>
          </w:p>
          <w:p w14:paraId="5E4A2EAF" w14:textId="64032698"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1F1E5BE2" w14:textId="77777777" w:rsidR="00431A4A" w:rsidRDefault="00D77571" w:rsidP="00233509">
            <w:pPr>
              <w:rPr>
                <w:sz w:val="21"/>
                <w:szCs w:val="21"/>
              </w:rPr>
            </w:pPr>
            <w:r>
              <w:rPr>
                <w:sz w:val="21"/>
                <w:szCs w:val="21"/>
              </w:rPr>
              <w:t>N</w:t>
            </w:r>
            <w:r w:rsidR="00233509" w:rsidRPr="00E25F16">
              <w:rPr>
                <w:sz w:val="21"/>
                <w:szCs w:val="21"/>
              </w:rPr>
              <w:t>o</w:t>
            </w:r>
            <w:r>
              <w:rPr>
                <w:sz w:val="21"/>
                <w:szCs w:val="21"/>
              </w:rPr>
              <w:t>n</w:t>
            </w:r>
          </w:p>
          <w:p w14:paraId="65CC57AE" w14:textId="77FF7AFE" w:rsidR="00233509" w:rsidRPr="00E25F16" w:rsidRDefault="00233509" w:rsidP="00233509">
            <w:pPr>
              <w:rPr>
                <w:sz w:val="21"/>
                <w:szCs w:val="21"/>
              </w:rPr>
            </w:pPr>
            <w:r w:rsidRPr="00E25F16">
              <w:rPr>
                <w:sz w:val="21"/>
                <w:szCs w:val="21"/>
              </w:rPr>
              <w:t>Target</w:t>
            </w:r>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FA538B">
              <w:rPr>
                <w:sz w:val="21"/>
                <w:szCs w:val="21"/>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713046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713046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713047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While 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w:t>
      </w:r>
      <w:r w:rsidR="005E16B9" w:rsidRPr="00950B7F">
        <w:rPr>
          <w:rFonts w:ascii="Times New Roman" w:hAnsi="Times New Roman" w:cs="Times New Roman"/>
          <w:sz w:val="24"/>
          <w:szCs w:val="24"/>
        </w:rPr>
        <w:lastRenderedPageBreak/>
        <w:t xml:space="preserve">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B0DDCFF"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decreased the imbalance class ration from 6:1 to 1:1.</w:t>
      </w:r>
      <w:r w:rsidR="00851F7B">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713047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7130472"/>
      <w:r w:rsidRPr="00D759D8">
        <w:rPr>
          <w:rFonts w:ascii="Times New Roman" w:hAnsi="Times New Roman" w:cs="Times New Roman"/>
          <w:b/>
          <w:bCs/>
        </w:rPr>
        <w:lastRenderedPageBreak/>
        <w:t>References</w:t>
      </w:r>
      <w:bookmarkEnd w:id="42"/>
    </w:p>
    <w:p w14:paraId="41F21B86" w14:textId="77777777" w:rsidR="00D759D8" w:rsidRPr="008B32DE" w:rsidRDefault="00D759D8" w:rsidP="00D759D8">
      <w:pPr>
        <w:rPr>
          <w:lang w:eastAsia="en-US"/>
        </w:rPr>
      </w:pPr>
    </w:p>
    <w:p w14:paraId="496E2EA6" w14:textId="51162C3B" w:rsidR="00396FE9" w:rsidRPr="008B32DE" w:rsidRDefault="00396FE9" w:rsidP="00396FE9">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https://www.kaggle.com/aswathrao/hr-analysis?select=train.csv</w:t>
      </w:r>
      <w:r w:rsidR="00AE3EA4" w:rsidRPr="008B32DE">
        <w:rPr>
          <w:rFonts w:ascii="Times New Roman" w:hAnsi="Times New Roman" w:cs="Times New Roman"/>
          <w:sz w:val="24"/>
          <w:szCs w:val="24"/>
        </w:rPr>
        <w:t xml:space="preserve"> (assessed Aug. 12, 2020)</w:t>
      </w:r>
    </w:p>
    <w:p w14:paraId="0415419F" w14:textId="77777777" w:rsidR="00D759D8" w:rsidRPr="008B32DE" w:rsidRDefault="00D759D8" w:rsidP="00D759D8">
      <w:pPr>
        <w:pStyle w:val="ListParagraph"/>
        <w:rPr>
          <w:rFonts w:ascii="Times New Roman" w:hAnsi="Times New Roman" w:cs="Times New Roman"/>
          <w:sz w:val="24"/>
          <w:szCs w:val="24"/>
        </w:rPr>
      </w:pPr>
    </w:p>
    <w:p w14:paraId="200588EC" w14:textId="7B84A708" w:rsidR="0001337F" w:rsidRPr="008B32DE" w:rsidRDefault="00CB3EDB" w:rsidP="0001337F">
      <w:pPr>
        <w:pStyle w:val="ListParagraph"/>
        <w:numPr>
          <w:ilvl w:val="0"/>
          <w:numId w:val="25"/>
        </w:numPr>
        <w:rPr>
          <w:rFonts w:ascii="Times New Roman" w:hAnsi="Times New Roman" w:cs="Times New Roman"/>
          <w:i/>
          <w:iCs/>
          <w:sz w:val="24"/>
          <w:szCs w:val="24"/>
        </w:rPr>
      </w:pPr>
      <w:hyperlink r:id="rId47" w:history="1">
        <w:r w:rsidR="00F168FE" w:rsidRPr="008B32DE">
          <w:rPr>
            <w:rFonts w:ascii="Times New Roman" w:hAnsi="Times New Roman" w:cs="Times New Roman"/>
            <w:sz w:val="24"/>
            <w:szCs w:val="24"/>
          </w:rPr>
          <w:t>John D. Kelleher</w:t>
        </w:r>
      </w:hyperlink>
      <w:r w:rsidR="00F168FE" w:rsidRPr="008B32DE">
        <w:rPr>
          <w:rFonts w:ascii="Times New Roman" w:hAnsi="Times New Roman" w:cs="Times New Roman"/>
          <w:sz w:val="24"/>
          <w:szCs w:val="24"/>
        </w:rPr>
        <w:t>, </w:t>
      </w:r>
      <w:hyperlink r:id="rId48" w:history="1">
        <w:r w:rsidR="00F168FE" w:rsidRPr="008B32DE">
          <w:rPr>
            <w:rFonts w:ascii="Times New Roman" w:hAnsi="Times New Roman" w:cs="Times New Roman"/>
            <w:sz w:val="24"/>
            <w:szCs w:val="24"/>
          </w:rPr>
          <w:t xml:space="preserve">Brian Mac </w:t>
        </w:r>
        <w:proofErr w:type="spellStart"/>
        <w:r w:rsidR="00F168FE" w:rsidRPr="008B32DE">
          <w:rPr>
            <w:rFonts w:ascii="Times New Roman" w:hAnsi="Times New Roman" w:cs="Times New Roman"/>
            <w:sz w:val="24"/>
            <w:szCs w:val="24"/>
          </w:rPr>
          <w:t>Namee</w:t>
        </w:r>
        <w:proofErr w:type="spellEnd"/>
      </w:hyperlink>
      <w:r w:rsidR="00F168FE" w:rsidRPr="008B32DE">
        <w:rPr>
          <w:rFonts w:ascii="Times New Roman" w:hAnsi="Times New Roman" w:cs="Times New Roman"/>
          <w:sz w:val="24"/>
          <w:szCs w:val="24"/>
        </w:rPr>
        <w:t>, </w:t>
      </w:r>
      <w:hyperlink r:id="rId49" w:history="1">
        <w:r w:rsidR="00F168FE" w:rsidRPr="008B32DE">
          <w:rPr>
            <w:rFonts w:ascii="Times New Roman" w:hAnsi="Times New Roman" w:cs="Times New Roman"/>
            <w:sz w:val="24"/>
            <w:szCs w:val="24"/>
          </w:rPr>
          <w:t>Aoife D'Arcy</w:t>
        </w:r>
      </w:hyperlink>
      <w:r w:rsidR="00F168FE" w:rsidRPr="008B32DE">
        <w:rPr>
          <w:rFonts w:ascii="Times New Roman" w:hAnsi="Times New Roman" w:cs="Times New Roman"/>
          <w:sz w:val="24"/>
          <w:szCs w:val="24"/>
        </w:rPr>
        <w:t xml:space="preserve">. (2015) </w:t>
      </w:r>
      <w:r w:rsidR="00F168FE" w:rsidRPr="008B32DE">
        <w:rPr>
          <w:rFonts w:ascii="Times New Roman" w:hAnsi="Times New Roman" w:cs="Times New Roman"/>
          <w:i/>
          <w:iCs/>
          <w:sz w:val="24"/>
          <w:szCs w:val="24"/>
        </w:rPr>
        <w:t>Fundamentals of Machine Learning for Predictive Data Analytics</w:t>
      </w:r>
      <w:r w:rsidR="00F168FE" w:rsidRPr="008B32DE">
        <w:rPr>
          <w:rFonts w:ascii="Times New Roman" w:hAnsi="Times New Roman" w:cs="Times New Roman"/>
          <w:sz w:val="24"/>
          <w:szCs w:val="24"/>
        </w:rPr>
        <w:t xml:space="preserve">: </w:t>
      </w:r>
      <w:r w:rsidR="00F168FE" w:rsidRPr="008B32DE">
        <w:rPr>
          <w:rFonts w:ascii="Times New Roman" w:hAnsi="Times New Roman" w:cs="Times New Roman"/>
          <w:color w:val="000000"/>
          <w:sz w:val="24"/>
          <w:szCs w:val="24"/>
          <w:shd w:val="clear" w:color="auto" w:fill="FFFFFF"/>
        </w:rPr>
        <w:t> </w:t>
      </w:r>
      <w:r w:rsidR="00F168FE" w:rsidRPr="008B32DE">
        <w:rPr>
          <w:rFonts w:ascii="Times New Roman" w:hAnsi="Times New Roman" w:cs="Times New Roman"/>
          <w:i/>
          <w:iCs/>
          <w:color w:val="000000"/>
          <w:sz w:val="24"/>
          <w:szCs w:val="24"/>
          <w:shd w:val="clear" w:color="auto" w:fill="FFFFFF"/>
        </w:rPr>
        <w:t xml:space="preserve">Algorithms, Worked Examples, and Case Studies. </w:t>
      </w:r>
      <w:r w:rsidR="00005AA9" w:rsidRPr="008B32DE">
        <w:rPr>
          <w:rFonts w:ascii="Times New Roman" w:hAnsi="Times New Roman" w:cs="Times New Roman"/>
          <w:color w:val="000000"/>
          <w:sz w:val="24"/>
          <w:szCs w:val="24"/>
          <w:shd w:val="clear" w:color="auto" w:fill="FFFFFF"/>
        </w:rPr>
        <w:t>The MIT Press.</w:t>
      </w:r>
    </w:p>
    <w:p w14:paraId="2B08C828" w14:textId="77777777" w:rsidR="0001337F" w:rsidRPr="008B32DE" w:rsidRDefault="0001337F" w:rsidP="0001337F">
      <w:pPr>
        <w:rPr>
          <w:i/>
          <w:iCs/>
        </w:rPr>
      </w:pPr>
    </w:p>
    <w:p w14:paraId="0581A3BA" w14:textId="6BD6FB61" w:rsidR="00413E60" w:rsidRPr="008B32DE" w:rsidRDefault="0001337F" w:rsidP="00413E60">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SMOTE for Imbalanced Classification with Python</w:t>
      </w:r>
      <w:r w:rsidR="00413E60" w:rsidRPr="008B32DE">
        <w:rPr>
          <w:rFonts w:ascii="Times New Roman" w:hAnsi="Times New Roman" w:cs="Times New Roman"/>
          <w:sz w:val="24"/>
          <w:szCs w:val="24"/>
        </w:rPr>
        <w:t>. URL: https://machinelearningmastery.com/smote-oversampling-for-imbalanced-classification/</w:t>
      </w:r>
      <w:r w:rsidR="00AE3EA4" w:rsidRPr="008B32DE">
        <w:rPr>
          <w:rFonts w:ascii="Times New Roman" w:hAnsi="Times New Roman" w:cs="Times New Roman"/>
          <w:sz w:val="24"/>
          <w:szCs w:val="24"/>
        </w:rPr>
        <w:t xml:space="preserve"> (assessed Sep. 20, 2020)</w:t>
      </w:r>
    </w:p>
    <w:p w14:paraId="2FCB789D" w14:textId="77777777" w:rsidR="00D60B20" w:rsidRPr="008B32DE" w:rsidRDefault="00D60B20" w:rsidP="00D60B20">
      <w:pPr>
        <w:pStyle w:val="ListParagraph"/>
        <w:rPr>
          <w:rFonts w:ascii="Times New Roman" w:hAnsi="Times New Roman" w:cs="Times New Roman"/>
          <w:sz w:val="24"/>
          <w:szCs w:val="24"/>
        </w:rPr>
      </w:pPr>
    </w:p>
    <w:p w14:paraId="29FCA6B2" w14:textId="7321A403" w:rsidR="0001337F" w:rsidRPr="008B32DE" w:rsidRDefault="00D60B20"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Pablo Guevara </w:t>
      </w:r>
      <w:r w:rsidRPr="008B32DE">
        <w:rPr>
          <w:rFonts w:ascii="Times New Roman" w:hAnsi="Times New Roman" w:cs="Times New Roman"/>
          <w:i/>
          <w:iCs/>
          <w:sz w:val="24"/>
          <w:szCs w:val="24"/>
        </w:rPr>
        <w:t>Load Default Predictive Modeling A Case Study of Classification Algorithms</w:t>
      </w:r>
      <w:r w:rsidRPr="008B32DE">
        <w:rPr>
          <w:rFonts w:ascii="Times New Roman" w:hAnsi="Times New Roman" w:cs="Times New Roman"/>
          <w:sz w:val="24"/>
          <w:szCs w:val="24"/>
        </w:rPr>
        <w:t xml:space="preserve">. URL: </w:t>
      </w:r>
      <w:r w:rsidR="00F846F9" w:rsidRPr="008B32DE">
        <w:rPr>
          <w:rFonts w:ascii="Times New Roman" w:hAnsi="Times New Roman" w:cs="Times New Roman"/>
          <w:sz w:val="24"/>
          <w:szCs w:val="24"/>
        </w:rPr>
        <w:t>https://github.com/pandrewg/Lending-Club/tree/master/analysis (assessed Oct. 22, 2020)</w:t>
      </w:r>
    </w:p>
    <w:p w14:paraId="03403461" w14:textId="77777777" w:rsidR="005E6AD8" w:rsidRPr="008B32DE" w:rsidRDefault="005E6AD8" w:rsidP="005E6AD8">
      <w:pPr>
        <w:pStyle w:val="ListParagraph"/>
        <w:rPr>
          <w:rFonts w:ascii="Times New Roman" w:hAnsi="Times New Roman" w:cs="Times New Roman"/>
          <w:sz w:val="24"/>
          <w:szCs w:val="24"/>
        </w:rPr>
      </w:pPr>
    </w:p>
    <w:p w14:paraId="6C9DF801" w14:textId="7BC007E9" w:rsidR="005E6AD8" w:rsidRPr="008B32DE" w:rsidRDefault="005E6AD8"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https://en.wikipedia.org/wiki/Kaggle (assessed Nov. 11</w:t>
      </w:r>
      <w:r w:rsidR="00FE40C4" w:rsidRPr="008B32DE">
        <w:rPr>
          <w:rFonts w:ascii="Times New Roman" w:hAnsi="Times New Roman" w:cs="Times New Roman"/>
          <w:sz w:val="24"/>
          <w:szCs w:val="24"/>
        </w:rPr>
        <w:t xml:space="preserve">, </w:t>
      </w:r>
      <w:r w:rsidRPr="008B32DE">
        <w:rPr>
          <w:rFonts w:ascii="Times New Roman" w:hAnsi="Times New Roman" w:cs="Times New Roman"/>
          <w:sz w:val="24"/>
          <w:szCs w:val="24"/>
        </w:rPr>
        <w:t>2020)</w:t>
      </w:r>
    </w:p>
    <w:p w14:paraId="3F2B0433" w14:textId="77777777" w:rsidR="004B07EB" w:rsidRPr="008B32DE" w:rsidRDefault="004B07EB" w:rsidP="004B07EB">
      <w:pPr>
        <w:pStyle w:val="ListParagraph"/>
        <w:rPr>
          <w:rFonts w:ascii="Times New Roman" w:hAnsi="Times New Roman" w:cs="Times New Roman"/>
          <w:sz w:val="24"/>
          <w:szCs w:val="24"/>
        </w:rPr>
      </w:pPr>
    </w:p>
    <w:p w14:paraId="10FC6E95" w14:textId="4383DDA6" w:rsidR="004B07EB" w:rsidRPr="008B32DE" w:rsidRDefault="004B07EB" w:rsidP="005E6AD8">
      <w:pPr>
        <w:pStyle w:val="ListParagraph"/>
        <w:numPr>
          <w:ilvl w:val="0"/>
          <w:numId w:val="25"/>
        </w:numPr>
        <w:rPr>
          <w:rFonts w:ascii="Times New Roman" w:hAnsi="Times New Roman" w:cs="Times New Roman"/>
          <w:sz w:val="24"/>
          <w:szCs w:val="24"/>
        </w:rPr>
      </w:pPr>
      <w:r w:rsidRPr="008B32DE">
        <w:rPr>
          <w:rFonts w:ascii="Times New Roman" w:hAnsi="Times New Roman" w:cs="Times New Roman"/>
          <w:sz w:val="24"/>
          <w:szCs w:val="24"/>
        </w:rPr>
        <w:t xml:space="preserve">https://pixabay.com/vectors/choice-rh-hr-candidate-best-eq-4518660/(assessed Nov. </w:t>
      </w:r>
      <w:r w:rsidR="00CF4699" w:rsidRPr="008B32DE">
        <w:rPr>
          <w:rFonts w:ascii="Times New Roman" w:hAnsi="Times New Roman" w:cs="Times New Roman"/>
          <w:sz w:val="24"/>
          <w:szCs w:val="24"/>
        </w:rPr>
        <w:t>1</w:t>
      </w:r>
      <w:r w:rsidRPr="008B32DE">
        <w:rPr>
          <w:rFonts w:ascii="Times New Roman" w:hAnsi="Times New Roman" w:cs="Times New Roman"/>
          <w:sz w:val="24"/>
          <w:szCs w:val="24"/>
        </w:rPr>
        <w:t>, 2020)</w:t>
      </w:r>
    </w:p>
    <w:p w14:paraId="00E077F9" w14:textId="2AA286CF" w:rsidR="00D759D8" w:rsidRDefault="00D759D8" w:rsidP="00D60B20">
      <w:pPr>
        <w:pStyle w:val="ListParagraph"/>
        <w:rPr>
          <w:rFonts w:ascii="Times New Roman" w:hAnsi="Times New Roman" w:cs="Times New Roman"/>
          <w:i/>
          <w:iCs/>
          <w:sz w:val="24"/>
          <w:szCs w:val="24"/>
        </w:rPr>
      </w:pPr>
    </w:p>
    <w:p w14:paraId="381A69E6" w14:textId="685D66F5" w:rsidR="00ED1B8D" w:rsidRDefault="00ED1B8D" w:rsidP="00D60B20">
      <w:pPr>
        <w:pStyle w:val="ListParagraph"/>
        <w:rPr>
          <w:rFonts w:ascii="Times New Roman" w:hAnsi="Times New Roman" w:cs="Times New Roman"/>
          <w:i/>
          <w:iCs/>
          <w:sz w:val="24"/>
          <w:szCs w:val="24"/>
        </w:rPr>
      </w:pPr>
    </w:p>
    <w:p w14:paraId="6243AD01" w14:textId="5950DDB2" w:rsidR="00ED1B8D" w:rsidRDefault="00ED1B8D" w:rsidP="00D60B20">
      <w:pPr>
        <w:pStyle w:val="ListParagraph"/>
        <w:rPr>
          <w:rFonts w:ascii="Times New Roman" w:hAnsi="Times New Roman" w:cs="Times New Roman"/>
          <w:i/>
          <w:iCs/>
          <w:sz w:val="24"/>
          <w:szCs w:val="24"/>
        </w:rPr>
      </w:pPr>
    </w:p>
    <w:p w14:paraId="0E55E9CE" w14:textId="10F74C25" w:rsidR="00ED1B8D" w:rsidRDefault="00ED1B8D" w:rsidP="00D60B20">
      <w:pPr>
        <w:pStyle w:val="ListParagraph"/>
        <w:rPr>
          <w:rFonts w:ascii="Times New Roman" w:hAnsi="Times New Roman" w:cs="Times New Roman"/>
          <w:i/>
          <w:iCs/>
          <w:sz w:val="24"/>
          <w:szCs w:val="24"/>
        </w:rPr>
      </w:pPr>
    </w:p>
    <w:p w14:paraId="7A30E5C7" w14:textId="40EC084A" w:rsidR="00ED1B8D" w:rsidRDefault="00ED1B8D" w:rsidP="00D60B20">
      <w:pPr>
        <w:pStyle w:val="ListParagraph"/>
        <w:rPr>
          <w:rFonts w:ascii="Times New Roman" w:hAnsi="Times New Roman" w:cs="Times New Roman"/>
          <w:i/>
          <w:iCs/>
          <w:sz w:val="24"/>
          <w:szCs w:val="24"/>
        </w:rPr>
      </w:pPr>
    </w:p>
    <w:p w14:paraId="3A06E89B" w14:textId="36166776" w:rsidR="00ED1B8D" w:rsidRDefault="00ED1B8D" w:rsidP="00D60B20">
      <w:pPr>
        <w:pStyle w:val="ListParagraph"/>
        <w:rPr>
          <w:rFonts w:ascii="Times New Roman" w:hAnsi="Times New Roman" w:cs="Times New Roman"/>
          <w:i/>
          <w:iCs/>
          <w:sz w:val="24"/>
          <w:szCs w:val="24"/>
        </w:rPr>
      </w:pPr>
    </w:p>
    <w:p w14:paraId="148BFBF4" w14:textId="594D6A33" w:rsidR="00ED1B8D" w:rsidRDefault="00ED1B8D" w:rsidP="00D60B20">
      <w:pPr>
        <w:pStyle w:val="ListParagraph"/>
        <w:rPr>
          <w:rFonts w:ascii="Times New Roman" w:hAnsi="Times New Roman" w:cs="Times New Roman"/>
          <w:i/>
          <w:iCs/>
          <w:sz w:val="24"/>
          <w:szCs w:val="24"/>
        </w:rPr>
      </w:pPr>
    </w:p>
    <w:p w14:paraId="09F006F7" w14:textId="5847DC70" w:rsidR="00ED1B8D" w:rsidRDefault="00ED1B8D" w:rsidP="00D60B20">
      <w:pPr>
        <w:pStyle w:val="ListParagraph"/>
        <w:rPr>
          <w:rFonts w:ascii="Times New Roman" w:hAnsi="Times New Roman" w:cs="Times New Roman"/>
          <w:i/>
          <w:iCs/>
          <w:sz w:val="24"/>
          <w:szCs w:val="24"/>
        </w:rPr>
      </w:pPr>
    </w:p>
    <w:p w14:paraId="57E0A30E" w14:textId="5FDC3F47" w:rsidR="00ED1B8D" w:rsidRDefault="00ED1B8D" w:rsidP="00D60B20">
      <w:pPr>
        <w:pStyle w:val="ListParagraph"/>
        <w:rPr>
          <w:rFonts w:ascii="Times New Roman" w:hAnsi="Times New Roman" w:cs="Times New Roman"/>
          <w:i/>
          <w:iCs/>
          <w:sz w:val="24"/>
          <w:szCs w:val="24"/>
        </w:rPr>
      </w:pPr>
    </w:p>
    <w:p w14:paraId="1F7475EA" w14:textId="51DC53CB" w:rsidR="00ED1B8D" w:rsidRDefault="00ED1B8D" w:rsidP="00D60B20">
      <w:pPr>
        <w:pStyle w:val="ListParagraph"/>
        <w:rPr>
          <w:rFonts w:ascii="Times New Roman" w:hAnsi="Times New Roman" w:cs="Times New Roman"/>
          <w:i/>
          <w:iCs/>
          <w:sz w:val="24"/>
          <w:szCs w:val="24"/>
        </w:rPr>
      </w:pPr>
    </w:p>
    <w:p w14:paraId="0C877F05" w14:textId="4520A85A" w:rsidR="00ED1B8D" w:rsidRDefault="00ED1B8D" w:rsidP="00D60B20">
      <w:pPr>
        <w:pStyle w:val="ListParagraph"/>
        <w:rPr>
          <w:rFonts w:ascii="Times New Roman" w:hAnsi="Times New Roman" w:cs="Times New Roman"/>
          <w:i/>
          <w:iCs/>
          <w:sz w:val="24"/>
          <w:szCs w:val="24"/>
        </w:rPr>
      </w:pPr>
    </w:p>
    <w:p w14:paraId="10E74DC1" w14:textId="149E9C6A" w:rsidR="00ED1B8D" w:rsidRDefault="00ED1B8D" w:rsidP="00D60B20">
      <w:pPr>
        <w:pStyle w:val="ListParagraph"/>
        <w:rPr>
          <w:rFonts w:ascii="Times New Roman" w:hAnsi="Times New Roman" w:cs="Times New Roman"/>
          <w:i/>
          <w:iCs/>
          <w:sz w:val="24"/>
          <w:szCs w:val="24"/>
        </w:rPr>
      </w:pPr>
    </w:p>
    <w:p w14:paraId="23E343EF" w14:textId="60B1EEDB" w:rsidR="00ED1B8D" w:rsidRDefault="00ED1B8D" w:rsidP="00D60B20">
      <w:pPr>
        <w:pStyle w:val="ListParagraph"/>
        <w:rPr>
          <w:rFonts w:ascii="Times New Roman" w:hAnsi="Times New Roman" w:cs="Times New Roman"/>
          <w:i/>
          <w:iCs/>
          <w:sz w:val="24"/>
          <w:szCs w:val="24"/>
        </w:rPr>
      </w:pPr>
    </w:p>
    <w:p w14:paraId="252528E4" w14:textId="1D9E8ACC" w:rsidR="00ED1B8D" w:rsidRDefault="00ED1B8D" w:rsidP="00D60B20">
      <w:pPr>
        <w:pStyle w:val="ListParagraph"/>
        <w:rPr>
          <w:rFonts w:ascii="Times New Roman" w:hAnsi="Times New Roman" w:cs="Times New Roman"/>
          <w:i/>
          <w:iCs/>
          <w:sz w:val="24"/>
          <w:szCs w:val="24"/>
        </w:rPr>
      </w:pPr>
    </w:p>
    <w:p w14:paraId="663F7106" w14:textId="2ADFE6DF" w:rsidR="00ED1B8D" w:rsidRDefault="00ED1B8D" w:rsidP="00D60B20">
      <w:pPr>
        <w:pStyle w:val="ListParagraph"/>
        <w:rPr>
          <w:rFonts w:ascii="Times New Roman" w:hAnsi="Times New Roman" w:cs="Times New Roman"/>
          <w:i/>
          <w:iCs/>
          <w:sz w:val="24"/>
          <w:szCs w:val="24"/>
        </w:rPr>
      </w:pPr>
    </w:p>
    <w:p w14:paraId="6AA8BDDE" w14:textId="6688EB14" w:rsidR="00ED1B8D" w:rsidRDefault="00ED1B8D" w:rsidP="00D60B20">
      <w:pPr>
        <w:pStyle w:val="ListParagraph"/>
        <w:rPr>
          <w:rFonts w:ascii="Times New Roman" w:hAnsi="Times New Roman" w:cs="Times New Roman"/>
          <w:i/>
          <w:iCs/>
          <w:sz w:val="24"/>
          <w:szCs w:val="24"/>
        </w:rPr>
      </w:pPr>
    </w:p>
    <w:p w14:paraId="2DAF3AA7" w14:textId="3669F116" w:rsidR="00ED1B8D" w:rsidRDefault="00ED1B8D" w:rsidP="00D60B20">
      <w:pPr>
        <w:pStyle w:val="ListParagraph"/>
        <w:rPr>
          <w:rFonts w:ascii="Times New Roman" w:hAnsi="Times New Roman" w:cs="Times New Roman"/>
          <w:i/>
          <w:iCs/>
          <w:sz w:val="24"/>
          <w:szCs w:val="24"/>
        </w:rPr>
      </w:pPr>
    </w:p>
    <w:p w14:paraId="1952995C" w14:textId="10D21306" w:rsidR="00ED1B8D" w:rsidRDefault="00ED1B8D" w:rsidP="00D60B20">
      <w:pPr>
        <w:pStyle w:val="ListParagraph"/>
        <w:rPr>
          <w:rFonts w:ascii="Times New Roman" w:hAnsi="Times New Roman" w:cs="Times New Roman"/>
          <w:i/>
          <w:iCs/>
          <w:sz w:val="24"/>
          <w:szCs w:val="24"/>
        </w:rPr>
      </w:pPr>
    </w:p>
    <w:p w14:paraId="66309449" w14:textId="70B59CD1" w:rsidR="00ED1B8D" w:rsidRDefault="00ED1B8D" w:rsidP="00D60B20">
      <w:pPr>
        <w:pStyle w:val="ListParagraph"/>
        <w:rPr>
          <w:rFonts w:ascii="Times New Roman" w:hAnsi="Times New Roman" w:cs="Times New Roman"/>
          <w:i/>
          <w:iCs/>
          <w:sz w:val="24"/>
          <w:szCs w:val="24"/>
        </w:rPr>
      </w:pPr>
    </w:p>
    <w:p w14:paraId="024DF823" w14:textId="04351416" w:rsidR="00ED1B8D" w:rsidRDefault="00ED1B8D" w:rsidP="00D60B20">
      <w:pPr>
        <w:pStyle w:val="ListParagraph"/>
        <w:rPr>
          <w:rFonts w:ascii="Times New Roman" w:hAnsi="Times New Roman" w:cs="Times New Roman"/>
          <w:i/>
          <w:iCs/>
          <w:sz w:val="24"/>
          <w:szCs w:val="24"/>
        </w:rPr>
      </w:pPr>
    </w:p>
    <w:p w14:paraId="03503A68" w14:textId="37DD6AE9" w:rsidR="00ED1B8D" w:rsidRDefault="00ED1B8D" w:rsidP="00D60B20">
      <w:pPr>
        <w:pStyle w:val="ListParagraph"/>
        <w:rPr>
          <w:rFonts w:ascii="Times New Roman" w:hAnsi="Times New Roman" w:cs="Times New Roman"/>
          <w:i/>
          <w:iCs/>
          <w:sz w:val="24"/>
          <w:szCs w:val="24"/>
        </w:rPr>
      </w:pPr>
    </w:p>
    <w:p w14:paraId="4AA38EE5" w14:textId="2B0A123F" w:rsidR="00D81FF2" w:rsidRPr="0049217C" w:rsidRDefault="00D81FF2" w:rsidP="0049217C">
      <w:pPr>
        <w:rPr>
          <w:i/>
          <w:iCs/>
        </w:rPr>
      </w:pPr>
    </w:p>
    <w:p w14:paraId="2086E00A" w14:textId="0A883E2A" w:rsidR="00D81FF2" w:rsidRDefault="009A43F9" w:rsidP="00D81FF2">
      <w:pPr>
        <w:pStyle w:val="Heading1"/>
        <w:jc w:val="center"/>
        <w:rPr>
          <w:rFonts w:ascii="Times New Roman" w:hAnsi="Times New Roman" w:cs="Times New Roman"/>
          <w:b/>
          <w:bCs/>
        </w:rPr>
      </w:pPr>
      <w:bookmarkStart w:id="43" w:name="_Toc57130473"/>
      <w:r>
        <w:rPr>
          <w:rFonts w:ascii="Times New Roman" w:hAnsi="Times New Roman" w:cs="Times New Roman"/>
          <w:b/>
          <w:bCs/>
        </w:rPr>
        <w:lastRenderedPageBreak/>
        <w:t>Appendix</w:t>
      </w:r>
      <w:bookmarkEnd w:id="43"/>
    </w:p>
    <w:p w14:paraId="714D950E" w14:textId="77777777" w:rsidR="00D81FF2" w:rsidRPr="00D759D8" w:rsidRDefault="00D81FF2" w:rsidP="00D81FF2">
      <w:pPr>
        <w:rPr>
          <w:lang w:eastAsia="en-US"/>
        </w:rPr>
      </w:pPr>
    </w:p>
    <w:p w14:paraId="70F63970" w14:textId="77777777" w:rsidR="006F182F" w:rsidRDefault="006F182F" w:rsidP="006F182F">
      <w:pPr>
        <w:pStyle w:val="FootnoteText"/>
        <w:numPr>
          <w:ilvl w:val="0"/>
          <w:numId w:val="30"/>
        </w:numPr>
        <w:rPr>
          <w:sz w:val="24"/>
          <w:szCs w:val="24"/>
        </w:rPr>
      </w:pPr>
      <w:r>
        <w:rPr>
          <w:sz w:val="24"/>
          <w:szCs w:val="24"/>
        </w:rPr>
        <w:t xml:space="preserve">Target% in top 20%: </w:t>
      </w:r>
      <w:r w:rsidRPr="00DC128E">
        <w:rPr>
          <w:sz w:val="24"/>
          <w:szCs w:val="24"/>
        </w:rPr>
        <w:t>rank the predictions made for the Testing set in descending order by prediction scores and then divide them into deciles. A decile is a group containing 10% of a dataset</w:t>
      </w:r>
      <w:r>
        <w:rPr>
          <w:sz w:val="24"/>
          <w:szCs w:val="24"/>
        </w:rPr>
        <w:t xml:space="preserve">. Top 20% means the top 2 deciles. Target% in top 20% is defined as: </w:t>
      </w:r>
    </w:p>
    <w:p w14:paraId="31066DDB" w14:textId="3B7C191E" w:rsidR="006F182F" w:rsidRDefault="006F182F" w:rsidP="006F182F">
      <w:pPr>
        <w:pStyle w:val="FootnoteText"/>
        <w:ind w:left="720"/>
        <w:rPr>
          <w:sz w:val="24"/>
          <w:szCs w:val="24"/>
        </w:rPr>
      </w:pPr>
      <w:r>
        <w:rPr>
          <w:sz w:val="24"/>
          <w:szCs w:val="24"/>
        </w:rPr>
        <w:t xml:space="preserve">Target% in top 20%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2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2 deciles</m:t>
            </m:r>
          </m:num>
          <m:den>
            <m:r>
              <m:rPr>
                <m:sty m:val="p"/>
              </m:rPr>
              <w:rPr>
                <w:rFonts w:ascii="Cambria Math" w:hAnsi="Cambria Math"/>
                <w:sz w:val="24"/>
                <w:szCs w:val="24"/>
              </w:rPr>
              <m:t>728</m:t>
            </m:r>
          </m:den>
        </m:f>
      </m:oMath>
      <w:r w:rsidR="000E057A">
        <w:rPr>
          <w:sz w:val="24"/>
          <w:szCs w:val="24"/>
        </w:rPr>
        <w:t xml:space="preserve"> in this study.</w:t>
      </w:r>
    </w:p>
    <w:p w14:paraId="1FC71DF3" w14:textId="77777777" w:rsidR="004E3AFE" w:rsidRDefault="004E3AFE" w:rsidP="006F182F">
      <w:pPr>
        <w:pStyle w:val="FootnoteText"/>
        <w:ind w:left="720"/>
        <w:rPr>
          <w:sz w:val="24"/>
          <w:szCs w:val="24"/>
        </w:rPr>
      </w:pPr>
    </w:p>
    <w:p w14:paraId="05B97E4C" w14:textId="7E2E8770" w:rsidR="006263CC" w:rsidRDefault="004E3AFE" w:rsidP="004E3AFE">
      <w:pPr>
        <w:pStyle w:val="FootnoteText"/>
        <w:numPr>
          <w:ilvl w:val="0"/>
          <w:numId w:val="30"/>
        </w:numPr>
        <w:rPr>
          <w:sz w:val="24"/>
          <w:szCs w:val="24"/>
        </w:rPr>
      </w:pPr>
      <w:r>
        <w:rPr>
          <w:sz w:val="24"/>
          <w:szCs w:val="24"/>
        </w:rPr>
        <w:t>Target% in top 50% is defined as:</w:t>
      </w:r>
    </w:p>
    <w:p w14:paraId="5A0EC281" w14:textId="5F4E551F" w:rsidR="004E3AFE" w:rsidRPr="00023977" w:rsidRDefault="004E3AFE" w:rsidP="004E3AFE">
      <w:pPr>
        <w:pStyle w:val="FootnoteText"/>
        <w:ind w:left="720"/>
        <w:rPr>
          <w:sz w:val="24"/>
          <w:szCs w:val="24"/>
        </w:rPr>
      </w:pPr>
      <w:r>
        <w:rPr>
          <w:sz w:val="24"/>
          <w:szCs w:val="24"/>
        </w:rPr>
        <w:t xml:space="preserve">Target% in top 50% = </w:t>
      </w:r>
      <m:oMath>
        <m:f>
          <m:fPr>
            <m:ctrlPr>
              <w:rPr>
                <w:rFonts w:ascii="Cambria Math" w:hAnsi="Cambria Math"/>
                <w:sz w:val="24"/>
                <w:szCs w:val="24"/>
              </w:rPr>
            </m:ctrlPr>
          </m:fPr>
          <m:num>
            <m:r>
              <m:rPr>
                <m:sty m:val="p"/>
              </m:rPr>
              <w:rPr>
                <w:rFonts w:ascii="Cambria Math" w:hAnsi="Cambria Math"/>
                <w:sz w:val="24"/>
                <w:szCs w:val="24"/>
              </w:rPr>
              <m:t xml:space="preserve">Targets in top </m:t>
            </m:r>
            <m:r>
              <m:rPr>
                <m:sty m:val="p"/>
              </m:rPr>
              <w:rPr>
                <w:rFonts w:ascii="Cambria Math" w:hAnsi="Cambria Math"/>
                <w:sz w:val="24"/>
                <w:szCs w:val="24"/>
              </w:rPr>
              <m:t>5 deciles</m:t>
            </m:r>
          </m:num>
          <m:den>
            <m:r>
              <m:rPr>
                <m:sty m:val="p"/>
              </m:rPr>
              <w:rPr>
                <w:rFonts w:ascii="Cambria Math" w:hAnsi="Cambria Math"/>
                <w:sz w:val="24"/>
                <w:szCs w:val="24"/>
              </w:rPr>
              <m:t>total Targets in Testing set</m:t>
            </m:r>
          </m:den>
        </m:f>
      </m:oMath>
      <w:r w:rsidRPr="00023977">
        <w:rPr>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Targe</m:t>
            </m:r>
            <m:r>
              <m:rPr>
                <m:sty m:val="p"/>
              </m:rPr>
              <w:rPr>
                <w:rFonts w:ascii="Cambria Math" w:hAnsi="Cambria Math"/>
                <w:sz w:val="24"/>
                <w:szCs w:val="24"/>
              </w:rPr>
              <m:t>ts in top 5 deciles</m:t>
            </m:r>
          </m:num>
          <m:den>
            <m:r>
              <m:rPr>
                <m:sty m:val="p"/>
              </m:rPr>
              <w:rPr>
                <w:rFonts w:ascii="Cambria Math" w:hAnsi="Cambria Math"/>
                <w:sz w:val="24"/>
                <w:szCs w:val="24"/>
              </w:rPr>
              <m:t>728</m:t>
            </m:r>
          </m:den>
        </m:f>
      </m:oMath>
      <w:r w:rsidR="000E057A">
        <w:rPr>
          <w:sz w:val="24"/>
          <w:szCs w:val="24"/>
        </w:rPr>
        <w:t xml:space="preserve"> in this study.</w:t>
      </w:r>
    </w:p>
    <w:p w14:paraId="22153CC7" w14:textId="77777777" w:rsidR="0067346A" w:rsidRDefault="0067346A" w:rsidP="0067346A">
      <w:pPr>
        <w:pStyle w:val="FootnoteText"/>
        <w:ind w:left="720"/>
        <w:rPr>
          <w:sz w:val="24"/>
          <w:szCs w:val="24"/>
        </w:rPr>
      </w:pPr>
    </w:p>
    <w:p w14:paraId="4B610322" w14:textId="222673BB" w:rsidR="00B87327" w:rsidRPr="006F182F" w:rsidRDefault="0067346A" w:rsidP="006F182F">
      <w:pPr>
        <w:pStyle w:val="FootnoteText"/>
        <w:numPr>
          <w:ilvl w:val="0"/>
          <w:numId w:val="30"/>
        </w:numPr>
        <w:rPr>
          <w:sz w:val="24"/>
          <w:szCs w:val="24"/>
        </w:rPr>
      </w:pPr>
      <w:r w:rsidRPr="00DC128E">
        <w:rPr>
          <w:sz w:val="24"/>
          <w:szCs w:val="24"/>
        </w:rPr>
        <w:t xml:space="preserve">The Lift at </w:t>
      </w:r>
      <w:r w:rsidR="00B3760F">
        <w:rPr>
          <w:sz w:val="24"/>
          <w:szCs w:val="24"/>
        </w:rPr>
        <w:t xml:space="preserve">each </w:t>
      </w:r>
      <w:r w:rsidRPr="00DC128E">
        <w:rPr>
          <w:sz w:val="24"/>
          <w:szCs w:val="24"/>
        </w:rPr>
        <w:t>decile dec is defined as:</w:t>
      </w:r>
      <w:r w:rsidR="008F2F4E">
        <w:rPr>
          <w:sz w:val="24"/>
          <w:szCs w:val="24"/>
        </w:rPr>
        <w:t xml:space="preserve"> </w:t>
      </w:r>
    </w:p>
    <w:p w14:paraId="18765B76" w14:textId="761EAAC7" w:rsidR="00794036" w:rsidRPr="00B87327" w:rsidRDefault="006F182F" w:rsidP="00B87327">
      <w:pPr>
        <w:pStyle w:val="FootnoteText"/>
        <w:ind w:left="360"/>
        <w:rPr>
          <w:sz w:val="24"/>
          <w:szCs w:val="24"/>
        </w:rPr>
      </w:pPr>
      <w:r>
        <w:rPr>
          <w:sz w:val="24"/>
          <w:szCs w:val="24"/>
        </w:rPr>
        <w:t xml:space="preserve">       </w:t>
      </w:r>
      <m:oMath>
        <m:r>
          <m:rPr>
            <m:sty m:val="p"/>
          </m:rPr>
          <w:rPr>
            <w:rFonts w:ascii="Cambria Math" w:hAnsi="Cambria Math"/>
            <w:sz w:val="24"/>
            <w:szCs w:val="24"/>
          </w:rPr>
          <m:t>li</m:t>
        </m:r>
        <m:r>
          <m:rPr>
            <m:sty m:val="p"/>
          </m:rPr>
          <w:rPr>
            <w:rFonts w:ascii="Cambria Math" w:hAnsi="Cambria Math"/>
            <w:sz w:val="24"/>
            <w:szCs w:val="24"/>
          </w:rPr>
          <m:t>f</m:t>
        </m:r>
        <m:r>
          <m:rPr>
            <m:sty m:val="p"/>
          </m:rPr>
          <w:rPr>
            <w:rFonts w:ascii="Cambria Math" w:hAnsi="Cambria Math"/>
            <w:sz w:val="24"/>
            <w:szCs w:val="24"/>
          </w:rPr>
          <m:t xml:space="preserve">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xml:space="preserve">% of </m:t>
            </m:r>
            <m:r>
              <m:rPr>
                <m:sty m:val="p"/>
              </m:rPr>
              <w:rPr>
                <w:rFonts w:ascii="Cambria Math" w:hAnsi="Cambria Math"/>
                <w:sz w:val="24"/>
                <w:szCs w:val="24"/>
              </w:rPr>
              <m:t xml:space="preserve">Targets </m:t>
            </m:r>
            <m:r>
              <m:rPr>
                <m:sty m:val="p"/>
              </m:rPr>
              <w:rPr>
                <w:rFonts w:ascii="Cambria Math" w:hAnsi="Cambria Math"/>
                <w:sz w:val="24"/>
                <w:szCs w:val="24"/>
              </w:rPr>
              <m:t xml:space="preserve"> in  decile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794036" w:rsidRPr="00B87327">
        <w:rPr>
          <w:sz w:val="24"/>
          <w:szCs w:val="24"/>
        </w:rPr>
        <w:t xml:space="preserve">  in this study</w:t>
      </w:r>
    </w:p>
    <w:p w14:paraId="278601E3" w14:textId="77777777" w:rsidR="008D173C" w:rsidRPr="00DC128E" w:rsidRDefault="008D173C" w:rsidP="008D173C">
      <w:pPr>
        <w:pStyle w:val="FootnoteText"/>
        <w:ind w:left="720"/>
        <w:rPr>
          <w:sz w:val="24"/>
          <w:szCs w:val="24"/>
        </w:rPr>
      </w:pPr>
    </w:p>
    <w:p w14:paraId="3EAE4E6E" w14:textId="6E7BA2DE" w:rsidR="009D30E8" w:rsidRPr="00DC128E" w:rsidRDefault="00CE5573" w:rsidP="00CB3EDB">
      <w:pPr>
        <w:pStyle w:val="FootnoteText"/>
        <w:numPr>
          <w:ilvl w:val="0"/>
          <w:numId w:val="30"/>
        </w:numPr>
        <w:rPr>
          <w:rFonts w:ascii="Cambria Math" w:hAnsi="Cambria Math"/>
          <w:sz w:val="24"/>
          <w:szCs w:val="24"/>
          <w:oMath/>
        </w:rPr>
      </w:pPr>
      <w:r w:rsidRPr="00DC128E">
        <w:rPr>
          <w:sz w:val="24"/>
          <w:szCs w:val="24"/>
        </w:rPr>
        <w:t>Cumulative Lift</w:t>
      </w:r>
      <w:r w:rsidR="003E0371">
        <w:rPr>
          <w:sz w:val="24"/>
          <w:szCs w:val="24"/>
        </w:rPr>
        <w:t xml:space="preserve"> at each decile dec is defined as:</w:t>
      </w:r>
    </w:p>
    <w:p w14:paraId="63960C48" w14:textId="06F1FF58" w:rsidR="00D87334" w:rsidRDefault="00DC128E" w:rsidP="00D87334">
      <w:pPr>
        <w:pStyle w:val="FootnoteText"/>
        <w:ind w:left="720"/>
        <w:rPr>
          <w:sz w:val="24"/>
          <w:szCs w:val="24"/>
        </w:rPr>
      </w:pPr>
      <m:oMath>
        <m:r>
          <m:rPr>
            <m:sty m:val="p"/>
          </m:rPr>
          <w:rPr>
            <w:rFonts w:ascii="Cambria Math" w:hAnsi="Cambria Math"/>
            <w:sz w:val="24"/>
            <w:szCs w:val="24"/>
          </w:rPr>
          <m:t xml:space="preserve">cumulative lift </m:t>
        </m:r>
        <m:d>
          <m:dPr>
            <m:ctrlPr>
              <w:rPr>
                <w:rFonts w:ascii="Cambria Math" w:hAnsi="Cambria Math"/>
                <w:sz w:val="24"/>
                <w:szCs w:val="24"/>
              </w:rPr>
            </m:ctrlPr>
          </m:dPr>
          <m:e>
            <m:r>
              <m:rPr>
                <m:sty m:val="p"/>
              </m:rPr>
              <w:rPr>
                <w:rFonts w:ascii="Cambria Math" w:hAnsi="Cambria Math"/>
                <w:sz w:val="24"/>
                <w:szCs w:val="24"/>
              </w:rPr>
              <m:t>dec</m:t>
            </m:r>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 of</m:t>
            </m:r>
            <m:r>
              <m:rPr>
                <m:sty m:val="p"/>
              </m:rPr>
              <w:rPr>
                <w:rFonts w:ascii="Cambria Math" w:hAnsi="Cambria Math"/>
                <w:sz w:val="24"/>
                <w:szCs w:val="24"/>
              </w:rPr>
              <m:t xml:space="preserve"> Targets</m:t>
            </m:r>
            <m:r>
              <m:rPr>
                <m:sty m:val="p"/>
              </m:rPr>
              <w:rPr>
                <w:rFonts w:ascii="Cambria Math" w:hAnsi="Cambria Math"/>
                <w:sz w:val="24"/>
                <w:szCs w:val="24"/>
              </w:rPr>
              <m:t xml:space="preserve"> in all deciles up to dec</m:t>
            </m:r>
          </m:num>
          <m:den>
            <m:r>
              <m:rPr>
                <m:sty m:val="p"/>
              </m:rPr>
              <w:rPr>
                <w:rFonts w:ascii="Cambria Math" w:hAnsi="Cambria Math"/>
                <w:sz w:val="24"/>
                <w:szCs w:val="24"/>
              </w:rPr>
              <m:t xml:space="preserve">% of </m:t>
            </m:r>
            <m:r>
              <m:rPr>
                <m:sty m:val="p"/>
              </m:rPr>
              <w:rPr>
                <w:rFonts w:ascii="Cambria Math" w:hAnsi="Cambria Math"/>
                <w:sz w:val="24"/>
                <w:szCs w:val="24"/>
              </w:rPr>
              <m:t>Targets</m:t>
            </m:r>
            <m:r>
              <m:rPr>
                <m:sty m:val="p"/>
              </m:rPr>
              <w:rPr>
                <w:rFonts w:ascii="Cambria Math" w:hAnsi="Cambria Math"/>
                <w:sz w:val="24"/>
                <w:szCs w:val="24"/>
              </w:rPr>
              <m:t xml:space="preserve"> in Testing set</m:t>
            </m:r>
          </m:den>
        </m:f>
      </m:oMath>
      <w:r w:rsidR="00CE5573" w:rsidRPr="00DC128E">
        <w:rPr>
          <w:sz w:val="24"/>
          <w:szCs w:val="24"/>
        </w:rPr>
        <w:t xml:space="preserve">  in this study.</w:t>
      </w:r>
    </w:p>
    <w:p w14:paraId="7BCFB08E" w14:textId="77777777" w:rsidR="0041345E" w:rsidRDefault="0041345E" w:rsidP="0041345E">
      <w:pPr>
        <w:pStyle w:val="FootnoteText"/>
        <w:rPr>
          <w:sz w:val="24"/>
          <w:szCs w:val="24"/>
        </w:rPr>
      </w:pPr>
    </w:p>
    <w:p w14:paraId="0FF57B11" w14:textId="77777777" w:rsidR="000911C7" w:rsidRPr="00DC128E" w:rsidRDefault="000911C7" w:rsidP="000911C7">
      <w:pPr>
        <w:pStyle w:val="FootnoteText"/>
        <w:rPr>
          <w:sz w:val="24"/>
          <w:szCs w:val="24"/>
        </w:rPr>
      </w:pPr>
    </w:p>
    <w:sectPr w:rsidR="000911C7" w:rsidRPr="00DC128E"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09D2D" w14:textId="77777777" w:rsidR="002F05CC" w:rsidRDefault="002F05CC" w:rsidP="008413B8">
      <w:r>
        <w:separator/>
      </w:r>
    </w:p>
  </w:endnote>
  <w:endnote w:type="continuationSeparator" w:id="0">
    <w:p w14:paraId="2E9F6630" w14:textId="77777777" w:rsidR="002F05CC" w:rsidRDefault="002F05CC"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CB3EDB" w:rsidRDefault="00CB3EDB"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CB3EDB" w:rsidRDefault="00CB3EDB"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CB3EDB" w:rsidRDefault="00CB3EDB"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CB3EDB" w:rsidRPr="000442B2" w:rsidRDefault="00CB3EDB"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CB3EDB" w:rsidRDefault="00CB3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3843C" w14:textId="77777777" w:rsidR="002F05CC" w:rsidRDefault="002F05CC" w:rsidP="008413B8">
      <w:r>
        <w:separator/>
      </w:r>
    </w:p>
  </w:footnote>
  <w:footnote w:type="continuationSeparator" w:id="0">
    <w:p w14:paraId="38AC5E47" w14:textId="77777777" w:rsidR="002F05CC" w:rsidRDefault="002F05CC" w:rsidP="008413B8">
      <w:r>
        <w:continuationSeparator/>
      </w:r>
    </w:p>
  </w:footnote>
  <w:footnote w:id="1">
    <w:p w14:paraId="0FB91389" w14:textId="030CE270" w:rsidR="00CB3EDB" w:rsidRDefault="00CB3EDB">
      <w:pPr>
        <w:pStyle w:val="FootnoteText"/>
      </w:pPr>
      <w:r>
        <w:rPr>
          <w:rStyle w:val="FootnoteReference"/>
        </w:rPr>
        <w:footnoteRef/>
      </w:r>
      <w:r>
        <w:t xml:space="preserve"> The original dataset mis-spelled word ‘relevant’ as ‘</w:t>
      </w:r>
      <w:proofErr w:type="spellStart"/>
      <w:r>
        <w:t>relevent</w:t>
      </w:r>
      <w:proofErr w:type="spellEnd"/>
      <w:r>
        <w:t xml:space="preserve">’. We used the mis-spelled one in this study. </w:t>
      </w:r>
    </w:p>
  </w:footnote>
  <w:footnote w:id="2">
    <w:p w14:paraId="41137EEC" w14:textId="75102BC2" w:rsidR="00CB3EDB" w:rsidRDefault="00CB3EDB">
      <w:pPr>
        <w:pStyle w:val="FootnoteText"/>
      </w:pPr>
      <w:r>
        <w:rPr>
          <w:rStyle w:val="FootnoteReference"/>
        </w:rPr>
        <w:footnoteRef/>
      </w:r>
      <w:r>
        <w:t xml:space="preserve"> Customized metrics (Target% in top N%), Lift, Cumulative Lift’s calculation formula could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63663"/>
    <w:multiLevelType w:val="hybridMultilevel"/>
    <w:tmpl w:val="987C5CA6"/>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454A52"/>
    <w:multiLevelType w:val="hybridMultilevel"/>
    <w:tmpl w:val="F656C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20"/>
  </w:num>
  <w:num w:numId="4">
    <w:abstractNumId w:val="2"/>
  </w:num>
  <w:num w:numId="5">
    <w:abstractNumId w:val="8"/>
  </w:num>
  <w:num w:numId="6">
    <w:abstractNumId w:val="9"/>
  </w:num>
  <w:num w:numId="7">
    <w:abstractNumId w:val="1"/>
  </w:num>
  <w:num w:numId="8">
    <w:abstractNumId w:val="12"/>
  </w:num>
  <w:num w:numId="9">
    <w:abstractNumId w:val="19"/>
  </w:num>
  <w:num w:numId="10">
    <w:abstractNumId w:val="21"/>
  </w:num>
  <w:num w:numId="11">
    <w:abstractNumId w:val="5"/>
  </w:num>
  <w:num w:numId="12">
    <w:abstractNumId w:val="30"/>
  </w:num>
  <w:num w:numId="13">
    <w:abstractNumId w:val="24"/>
  </w:num>
  <w:num w:numId="14">
    <w:abstractNumId w:val="27"/>
  </w:num>
  <w:num w:numId="15">
    <w:abstractNumId w:val="6"/>
  </w:num>
  <w:num w:numId="16">
    <w:abstractNumId w:val="11"/>
  </w:num>
  <w:num w:numId="17">
    <w:abstractNumId w:val="10"/>
  </w:num>
  <w:num w:numId="18">
    <w:abstractNumId w:val="22"/>
  </w:num>
  <w:num w:numId="19">
    <w:abstractNumId w:val="23"/>
  </w:num>
  <w:num w:numId="20">
    <w:abstractNumId w:val="28"/>
  </w:num>
  <w:num w:numId="21">
    <w:abstractNumId w:val="7"/>
  </w:num>
  <w:num w:numId="22">
    <w:abstractNumId w:val="25"/>
  </w:num>
  <w:num w:numId="23">
    <w:abstractNumId w:val="0"/>
  </w:num>
  <w:num w:numId="24">
    <w:abstractNumId w:val="29"/>
  </w:num>
  <w:num w:numId="25">
    <w:abstractNumId w:val="26"/>
  </w:num>
  <w:num w:numId="26">
    <w:abstractNumId w:val="3"/>
  </w:num>
  <w:num w:numId="27">
    <w:abstractNumId w:val="4"/>
  </w:num>
  <w:num w:numId="28">
    <w:abstractNumId w:val="14"/>
  </w:num>
  <w:num w:numId="29">
    <w:abstractNumId w:val="16"/>
  </w:num>
  <w:num w:numId="30">
    <w:abstractNumId w:val="13"/>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602"/>
    <w:rsid w:val="00000B4D"/>
    <w:rsid w:val="0000113A"/>
    <w:rsid w:val="00004220"/>
    <w:rsid w:val="00005800"/>
    <w:rsid w:val="00005AA9"/>
    <w:rsid w:val="0001337F"/>
    <w:rsid w:val="000138DC"/>
    <w:rsid w:val="00014808"/>
    <w:rsid w:val="000200D2"/>
    <w:rsid w:val="00023977"/>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675B6"/>
    <w:rsid w:val="000760A1"/>
    <w:rsid w:val="000765C0"/>
    <w:rsid w:val="00082889"/>
    <w:rsid w:val="00082D3B"/>
    <w:rsid w:val="00082DEB"/>
    <w:rsid w:val="000872C8"/>
    <w:rsid w:val="00090753"/>
    <w:rsid w:val="000911C7"/>
    <w:rsid w:val="00091E52"/>
    <w:rsid w:val="00094CB0"/>
    <w:rsid w:val="00095EE2"/>
    <w:rsid w:val="0009752F"/>
    <w:rsid w:val="000977A1"/>
    <w:rsid w:val="000A2B03"/>
    <w:rsid w:val="000A42A0"/>
    <w:rsid w:val="000A5750"/>
    <w:rsid w:val="000B05C0"/>
    <w:rsid w:val="000B1031"/>
    <w:rsid w:val="000B2ABD"/>
    <w:rsid w:val="000B34A5"/>
    <w:rsid w:val="000B3949"/>
    <w:rsid w:val="000B3DCB"/>
    <w:rsid w:val="000B6FD4"/>
    <w:rsid w:val="000B79C9"/>
    <w:rsid w:val="000C0399"/>
    <w:rsid w:val="000C276D"/>
    <w:rsid w:val="000C4459"/>
    <w:rsid w:val="000C4AF7"/>
    <w:rsid w:val="000C5390"/>
    <w:rsid w:val="000C5432"/>
    <w:rsid w:val="000C5ABC"/>
    <w:rsid w:val="000C6230"/>
    <w:rsid w:val="000C6B3D"/>
    <w:rsid w:val="000D0864"/>
    <w:rsid w:val="000D1699"/>
    <w:rsid w:val="000D32FF"/>
    <w:rsid w:val="000D4CB2"/>
    <w:rsid w:val="000D5D5C"/>
    <w:rsid w:val="000E057A"/>
    <w:rsid w:val="000E0BE7"/>
    <w:rsid w:val="000E684D"/>
    <w:rsid w:val="000F17DB"/>
    <w:rsid w:val="000F79D8"/>
    <w:rsid w:val="000F7F43"/>
    <w:rsid w:val="000F7FC4"/>
    <w:rsid w:val="00103FAA"/>
    <w:rsid w:val="00104926"/>
    <w:rsid w:val="0010497E"/>
    <w:rsid w:val="00111309"/>
    <w:rsid w:val="00112D93"/>
    <w:rsid w:val="00116482"/>
    <w:rsid w:val="001206F4"/>
    <w:rsid w:val="00123B40"/>
    <w:rsid w:val="00125E8B"/>
    <w:rsid w:val="0013007B"/>
    <w:rsid w:val="00130D52"/>
    <w:rsid w:val="00133ADD"/>
    <w:rsid w:val="00133F64"/>
    <w:rsid w:val="0013723B"/>
    <w:rsid w:val="001374E7"/>
    <w:rsid w:val="00142062"/>
    <w:rsid w:val="0014468A"/>
    <w:rsid w:val="00145997"/>
    <w:rsid w:val="00147C32"/>
    <w:rsid w:val="00150215"/>
    <w:rsid w:val="00150491"/>
    <w:rsid w:val="001536FD"/>
    <w:rsid w:val="00153F8A"/>
    <w:rsid w:val="00155E30"/>
    <w:rsid w:val="00157D41"/>
    <w:rsid w:val="00163CEB"/>
    <w:rsid w:val="00166461"/>
    <w:rsid w:val="00166D11"/>
    <w:rsid w:val="00167595"/>
    <w:rsid w:val="00174733"/>
    <w:rsid w:val="00175130"/>
    <w:rsid w:val="001805E2"/>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A582D"/>
    <w:rsid w:val="001C02D5"/>
    <w:rsid w:val="001C0D83"/>
    <w:rsid w:val="001C27A7"/>
    <w:rsid w:val="001C33B1"/>
    <w:rsid w:val="001C3A8D"/>
    <w:rsid w:val="001C3D7A"/>
    <w:rsid w:val="001C7C22"/>
    <w:rsid w:val="001D154F"/>
    <w:rsid w:val="001D203B"/>
    <w:rsid w:val="001D6744"/>
    <w:rsid w:val="001D7126"/>
    <w:rsid w:val="001D7BD3"/>
    <w:rsid w:val="001E0655"/>
    <w:rsid w:val="001E0C46"/>
    <w:rsid w:val="001E4A48"/>
    <w:rsid w:val="001E586D"/>
    <w:rsid w:val="001F0392"/>
    <w:rsid w:val="001F65A0"/>
    <w:rsid w:val="001F6F4E"/>
    <w:rsid w:val="001F79CA"/>
    <w:rsid w:val="0020057C"/>
    <w:rsid w:val="00202316"/>
    <w:rsid w:val="00202347"/>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48BA"/>
    <w:rsid w:val="002458E1"/>
    <w:rsid w:val="00245C4D"/>
    <w:rsid w:val="0024709F"/>
    <w:rsid w:val="002509A9"/>
    <w:rsid w:val="00250BD0"/>
    <w:rsid w:val="00251A94"/>
    <w:rsid w:val="00251E09"/>
    <w:rsid w:val="0025269D"/>
    <w:rsid w:val="002533F6"/>
    <w:rsid w:val="00253E0E"/>
    <w:rsid w:val="0026566E"/>
    <w:rsid w:val="0027049D"/>
    <w:rsid w:val="00270B7D"/>
    <w:rsid w:val="00271BC3"/>
    <w:rsid w:val="00271C2F"/>
    <w:rsid w:val="00273CEC"/>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52E"/>
    <w:rsid w:val="002E2D81"/>
    <w:rsid w:val="002E3BEF"/>
    <w:rsid w:val="002E434F"/>
    <w:rsid w:val="002E4C32"/>
    <w:rsid w:val="002E5177"/>
    <w:rsid w:val="002F05CC"/>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241"/>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09F8"/>
    <w:rsid w:val="00351577"/>
    <w:rsid w:val="00354135"/>
    <w:rsid w:val="0035692E"/>
    <w:rsid w:val="00357B18"/>
    <w:rsid w:val="00357C83"/>
    <w:rsid w:val="00357D40"/>
    <w:rsid w:val="00361030"/>
    <w:rsid w:val="00362B3B"/>
    <w:rsid w:val="00362C8B"/>
    <w:rsid w:val="003653CF"/>
    <w:rsid w:val="00367D6D"/>
    <w:rsid w:val="0037041E"/>
    <w:rsid w:val="00370F98"/>
    <w:rsid w:val="00373B35"/>
    <w:rsid w:val="0037466D"/>
    <w:rsid w:val="00376C38"/>
    <w:rsid w:val="0038336C"/>
    <w:rsid w:val="00386B65"/>
    <w:rsid w:val="003903CE"/>
    <w:rsid w:val="00392EB4"/>
    <w:rsid w:val="0039333C"/>
    <w:rsid w:val="00394B16"/>
    <w:rsid w:val="00394BBB"/>
    <w:rsid w:val="0039615B"/>
    <w:rsid w:val="00396FE9"/>
    <w:rsid w:val="00396FEF"/>
    <w:rsid w:val="00397F87"/>
    <w:rsid w:val="003A34C0"/>
    <w:rsid w:val="003A6119"/>
    <w:rsid w:val="003A61AC"/>
    <w:rsid w:val="003A78A5"/>
    <w:rsid w:val="003B4166"/>
    <w:rsid w:val="003B5859"/>
    <w:rsid w:val="003B5BCB"/>
    <w:rsid w:val="003B6C55"/>
    <w:rsid w:val="003C0A10"/>
    <w:rsid w:val="003C4AE5"/>
    <w:rsid w:val="003C7562"/>
    <w:rsid w:val="003D0A9A"/>
    <w:rsid w:val="003D1D30"/>
    <w:rsid w:val="003D3EA5"/>
    <w:rsid w:val="003D6114"/>
    <w:rsid w:val="003D79B6"/>
    <w:rsid w:val="003E0371"/>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45E"/>
    <w:rsid w:val="00413A02"/>
    <w:rsid w:val="00413E60"/>
    <w:rsid w:val="0041505E"/>
    <w:rsid w:val="00417696"/>
    <w:rsid w:val="00420552"/>
    <w:rsid w:val="004220FD"/>
    <w:rsid w:val="004226D2"/>
    <w:rsid w:val="00422752"/>
    <w:rsid w:val="0043080F"/>
    <w:rsid w:val="00431A4A"/>
    <w:rsid w:val="00441377"/>
    <w:rsid w:val="00442CE2"/>
    <w:rsid w:val="00443FF3"/>
    <w:rsid w:val="00444D9F"/>
    <w:rsid w:val="004456D8"/>
    <w:rsid w:val="004509B6"/>
    <w:rsid w:val="00450AA0"/>
    <w:rsid w:val="004516A5"/>
    <w:rsid w:val="00451CE5"/>
    <w:rsid w:val="00453263"/>
    <w:rsid w:val="004542E2"/>
    <w:rsid w:val="00460763"/>
    <w:rsid w:val="00461A9A"/>
    <w:rsid w:val="004624A6"/>
    <w:rsid w:val="004650B4"/>
    <w:rsid w:val="004676BB"/>
    <w:rsid w:val="00470674"/>
    <w:rsid w:val="00470F91"/>
    <w:rsid w:val="0047152F"/>
    <w:rsid w:val="0047183A"/>
    <w:rsid w:val="00474D23"/>
    <w:rsid w:val="004750D4"/>
    <w:rsid w:val="00475F72"/>
    <w:rsid w:val="00476D05"/>
    <w:rsid w:val="00477410"/>
    <w:rsid w:val="00480817"/>
    <w:rsid w:val="004815FE"/>
    <w:rsid w:val="00482C54"/>
    <w:rsid w:val="00482EBD"/>
    <w:rsid w:val="0048488D"/>
    <w:rsid w:val="00487503"/>
    <w:rsid w:val="004916D5"/>
    <w:rsid w:val="0049217C"/>
    <w:rsid w:val="004A3755"/>
    <w:rsid w:val="004B07EB"/>
    <w:rsid w:val="004B0DD4"/>
    <w:rsid w:val="004B3EC5"/>
    <w:rsid w:val="004B4A15"/>
    <w:rsid w:val="004B4A59"/>
    <w:rsid w:val="004B72C8"/>
    <w:rsid w:val="004C179C"/>
    <w:rsid w:val="004C1ADA"/>
    <w:rsid w:val="004C3515"/>
    <w:rsid w:val="004C42F4"/>
    <w:rsid w:val="004C469B"/>
    <w:rsid w:val="004C60F4"/>
    <w:rsid w:val="004C76CD"/>
    <w:rsid w:val="004D24AC"/>
    <w:rsid w:val="004D465F"/>
    <w:rsid w:val="004D6D44"/>
    <w:rsid w:val="004D75EE"/>
    <w:rsid w:val="004E0CCC"/>
    <w:rsid w:val="004E2D64"/>
    <w:rsid w:val="004E3AFE"/>
    <w:rsid w:val="004E50F7"/>
    <w:rsid w:val="004E5D61"/>
    <w:rsid w:val="004E64BB"/>
    <w:rsid w:val="004E6934"/>
    <w:rsid w:val="004E72E6"/>
    <w:rsid w:val="004F2C89"/>
    <w:rsid w:val="004F67CB"/>
    <w:rsid w:val="004F6B33"/>
    <w:rsid w:val="004F7BB5"/>
    <w:rsid w:val="005021EE"/>
    <w:rsid w:val="00502D2A"/>
    <w:rsid w:val="00503266"/>
    <w:rsid w:val="00506141"/>
    <w:rsid w:val="005062EA"/>
    <w:rsid w:val="00511E51"/>
    <w:rsid w:val="005126D0"/>
    <w:rsid w:val="00514CAE"/>
    <w:rsid w:val="00521A35"/>
    <w:rsid w:val="00522284"/>
    <w:rsid w:val="00522FC0"/>
    <w:rsid w:val="00523742"/>
    <w:rsid w:val="005305CB"/>
    <w:rsid w:val="00534976"/>
    <w:rsid w:val="00535412"/>
    <w:rsid w:val="00536070"/>
    <w:rsid w:val="00537BBD"/>
    <w:rsid w:val="00542460"/>
    <w:rsid w:val="00543F31"/>
    <w:rsid w:val="00544AB3"/>
    <w:rsid w:val="005457D5"/>
    <w:rsid w:val="005467D4"/>
    <w:rsid w:val="00550956"/>
    <w:rsid w:val="00551B1D"/>
    <w:rsid w:val="00552EC3"/>
    <w:rsid w:val="00554068"/>
    <w:rsid w:val="00554596"/>
    <w:rsid w:val="005545AE"/>
    <w:rsid w:val="00556476"/>
    <w:rsid w:val="00565D82"/>
    <w:rsid w:val="00567782"/>
    <w:rsid w:val="00567D70"/>
    <w:rsid w:val="00571CDC"/>
    <w:rsid w:val="00577F67"/>
    <w:rsid w:val="0058195A"/>
    <w:rsid w:val="00581E31"/>
    <w:rsid w:val="00581F3F"/>
    <w:rsid w:val="00582566"/>
    <w:rsid w:val="0058315C"/>
    <w:rsid w:val="005846D4"/>
    <w:rsid w:val="0058766C"/>
    <w:rsid w:val="005876F2"/>
    <w:rsid w:val="005901FE"/>
    <w:rsid w:val="0059588C"/>
    <w:rsid w:val="00595C99"/>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2A1A"/>
    <w:rsid w:val="005E49D9"/>
    <w:rsid w:val="005E622A"/>
    <w:rsid w:val="005E6AD8"/>
    <w:rsid w:val="005E6CAD"/>
    <w:rsid w:val="005E7FC9"/>
    <w:rsid w:val="005F02D6"/>
    <w:rsid w:val="005F187D"/>
    <w:rsid w:val="005F22B9"/>
    <w:rsid w:val="005F2983"/>
    <w:rsid w:val="005F2B8C"/>
    <w:rsid w:val="006010DF"/>
    <w:rsid w:val="00602C17"/>
    <w:rsid w:val="00606945"/>
    <w:rsid w:val="00611F31"/>
    <w:rsid w:val="00614B6F"/>
    <w:rsid w:val="0061716C"/>
    <w:rsid w:val="00623977"/>
    <w:rsid w:val="00623E6A"/>
    <w:rsid w:val="00625112"/>
    <w:rsid w:val="006263CC"/>
    <w:rsid w:val="00626704"/>
    <w:rsid w:val="006270DE"/>
    <w:rsid w:val="00627CB0"/>
    <w:rsid w:val="006322D6"/>
    <w:rsid w:val="0063366D"/>
    <w:rsid w:val="00635ABF"/>
    <w:rsid w:val="00645368"/>
    <w:rsid w:val="00646061"/>
    <w:rsid w:val="006471E3"/>
    <w:rsid w:val="00652392"/>
    <w:rsid w:val="006541E4"/>
    <w:rsid w:val="006553E9"/>
    <w:rsid w:val="00655C89"/>
    <w:rsid w:val="00655F8C"/>
    <w:rsid w:val="006622AC"/>
    <w:rsid w:val="00662CE3"/>
    <w:rsid w:val="00663983"/>
    <w:rsid w:val="00663A91"/>
    <w:rsid w:val="00664656"/>
    <w:rsid w:val="0066471A"/>
    <w:rsid w:val="00664804"/>
    <w:rsid w:val="00665135"/>
    <w:rsid w:val="006659ED"/>
    <w:rsid w:val="00666BFD"/>
    <w:rsid w:val="00666F0E"/>
    <w:rsid w:val="00673429"/>
    <w:rsid w:val="0067346A"/>
    <w:rsid w:val="006759BD"/>
    <w:rsid w:val="00675B89"/>
    <w:rsid w:val="006774F9"/>
    <w:rsid w:val="00677C20"/>
    <w:rsid w:val="00681AAD"/>
    <w:rsid w:val="0068224F"/>
    <w:rsid w:val="006833E3"/>
    <w:rsid w:val="00684E1E"/>
    <w:rsid w:val="00684FDD"/>
    <w:rsid w:val="00691C34"/>
    <w:rsid w:val="00693322"/>
    <w:rsid w:val="00693A94"/>
    <w:rsid w:val="0069452D"/>
    <w:rsid w:val="006951D4"/>
    <w:rsid w:val="00696BEB"/>
    <w:rsid w:val="00697D4D"/>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3559"/>
    <w:rsid w:val="006C6D5F"/>
    <w:rsid w:val="006D0951"/>
    <w:rsid w:val="006D12AB"/>
    <w:rsid w:val="006D2174"/>
    <w:rsid w:val="006D21E7"/>
    <w:rsid w:val="006D2AEA"/>
    <w:rsid w:val="006D313A"/>
    <w:rsid w:val="006D3408"/>
    <w:rsid w:val="006D34F3"/>
    <w:rsid w:val="006D3A24"/>
    <w:rsid w:val="006D7E96"/>
    <w:rsid w:val="006E048A"/>
    <w:rsid w:val="006E0D91"/>
    <w:rsid w:val="006E48D9"/>
    <w:rsid w:val="006E76CC"/>
    <w:rsid w:val="006F01F2"/>
    <w:rsid w:val="006F182F"/>
    <w:rsid w:val="006F3F5A"/>
    <w:rsid w:val="006F58BE"/>
    <w:rsid w:val="006F6EF7"/>
    <w:rsid w:val="007005E9"/>
    <w:rsid w:val="007007BE"/>
    <w:rsid w:val="00702394"/>
    <w:rsid w:val="00703152"/>
    <w:rsid w:val="00704FF4"/>
    <w:rsid w:val="007060D9"/>
    <w:rsid w:val="0070615C"/>
    <w:rsid w:val="0071074F"/>
    <w:rsid w:val="00714257"/>
    <w:rsid w:val="00715109"/>
    <w:rsid w:val="0071693A"/>
    <w:rsid w:val="00717A49"/>
    <w:rsid w:val="007205F0"/>
    <w:rsid w:val="0072111C"/>
    <w:rsid w:val="007232E9"/>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036"/>
    <w:rsid w:val="00794DAC"/>
    <w:rsid w:val="0079716A"/>
    <w:rsid w:val="007A1520"/>
    <w:rsid w:val="007A2499"/>
    <w:rsid w:val="007A3291"/>
    <w:rsid w:val="007B27DB"/>
    <w:rsid w:val="007B31FD"/>
    <w:rsid w:val="007B605A"/>
    <w:rsid w:val="007B77B5"/>
    <w:rsid w:val="007B7E34"/>
    <w:rsid w:val="007C4963"/>
    <w:rsid w:val="007C5C25"/>
    <w:rsid w:val="007C7633"/>
    <w:rsid w:val="007D1EAF"/>
    <w:rsid w:val="007D32A2"/>
    <w:rsid w:val="007D393A"/>
    <w:rsid w:val="007D3EA4"/>
    <w:rsid w:val="007D7AD4"/>
    <w:rsid w:val="007E1283"/>
    <w:rsid w:val="007E64FC"/>
    <w:rsid w:val="007E6519"/>
    <w:rsid w:val="007F0B62"/>
    <w:rsid w:val="007F14F0"/>
    <w:rsid w:val="007F31D9"/>
    <w:rsid w:val="007F3ED5"/>
    <w:rsid w:val="007F5025"/>
    <w:rsid w:val="007F544F"/>
    <w:rsid w:val="007F78D2"/>
    <w:rsid w:val="008009FA"/>
    <w:rsid w:val="00800A1E"/>
    <w:rsid w:val="00802D18"/>
    <w:rsid w:val="00807DB5"/>
    <w:rsid w:val="00807F76"/>
    <w:rsid w:val="00810E9E"/>
    <w:rsid w:val="00817C40"/>
    <w:rsid w:val="008205E0"/>
    <w:rsid w:val="00823F33"/>
    <w:rsid w:val="00824B35"/>
    <w:rsid w:val="008256AB"/>
    <w:rsid w:val="008351A6"/>
    <w:rsid w:val="00840AE9"/>
    <w:rsid w:val="008413B8"/>
    <w:rsid w:val="008445BD"/>
    <w:rsid w:val="00845FF6"/>
    <w:rsid w:val="008461AA"/>
    <w:rsid w:val="008502B5"/>
    <w:rsid w:val="00851F7B"/>
    <w:rsid w:val="008524D9"/>
    <w:rsid w:val="00853CF8"/>
    <w:rsid w:val="0086327A"/>
    <w:rsid w:val="00863B41"/>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32DE"/>
    <w:rsid w:val="008B49F2"/>
    <w:rsid w:val="008B51C4"/>
    <w:rsid w:val="008B56E2"/>
    <w:rsid w:val="008C3AC5"/>
    <w:rsid w:val="008C65F8"/>
    <w:rsid w:val="008C71C6"/>
    <w:rsid w:val="008D173C"/>
    <w:rsid w:val="008D26D0"/>
    <w:rsid w:val="008D2CA0"/>
    <w:rsid w:val="008D6F80"/>
    <w:rsid w:val="008E6284"/>
    <w:rsid w:val="008E654C"/>
    <w:rsid w:val="008F089A"/>
    <w:rsid w:val="008F26B1"/>
    <w:rsid w:val="008F2F4E"/>
    <w:rsid w:val="008F32F6"/>
    <w:rsid w:val="008F3AC4"/>
    <w:rsid w:val="008F6438"/>
    <w:rsid w:val="008F6A44"/>
    <w:rsid w:val="00900534"/>
    <w:rsid w:val="00900822"/>
    <w:rsid w:val="00900A7A"/>
    <w:rsid w:val="00904011"/>
    <w:rsid w:val="009056D0"/>
    <w:rsid w:val="00905E0C"/>
    <w:rsid w:val="009062BE"/>
    <w:rsid w:val="00910336"/>
    <w:rsid w:val="0091047A"/>
    <w:rsid w:val="00910A37"/>
    <w:rsid w:val="00910E05"/>
    <w:rsid w:val="00922BC1"/>
    <w:rsid w:val="00923F9D"/>
    <w:rsid w:val="00926B6A"/>
    <w:rsid w:val="00927BDD"/>
    <w:rsid w:val="00927FC6"/>
    <w:rsid w:val="009323DA"/>
    <w:rsid w:val="00932F46"/>
    <w:rsid w:val="009346E1"/>
    <w:rsid w:val="00935E3C"/>
    <w:rsid w:val="009369B0"/>
    <w:rsid w:val="00940883"/>
    <w:rsid w:val="00940D8F"/>
    <w:rsid w:val="0094193F"/>
    <w:rsid w:val="00942169"/>
    <w:rsid w:val="009425A3"/>
    <w:rsid w:val="00942E2C"/>
    <w:rsid w:val="00943E5A"/>
    <w:rsid w:val="009442EB"/>
    <w:rsid w:val="00945019"/>
    <w:rsid w:val="00945A4A"/>
    <w:rsid w:val="0094615E"/>
    <w:rsid w:val="00947120"/>
    <w:rsid w:val="00950B7F"/>
    <w:rsid w:val="009562BB"/>
    <w:rsid w:val="00956839"/>
    <w:rsid w:val="00962458"/>
    <w:rsid w:val="00962D37"/>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43F9"/>
    <w:rsid w:val="009A638A"/>
    <w:rsid w:val="009A64C6"/>
    <w:rsid w:val="009B227D"/>
    <w:rsid w:val="009B3084"/>
    <w:rsid w:val="009B3113"/>
    <w:rsid w:val="009B4589"/>
    <w:rsid w:val="009B6664"/>
    <w:rsid w:val="009B75CC"/>
    <w:rsid w:val="009C4014"/>
    <w:rsid w:val="009C4792"/>
    <w:rsid w:val="009C4B23"/>
    <w:rsid w:val="009C5523"/>
    <w:rsid w:val="009C5B05"/>
    <w:rsid w:val="009D30E8"/>
    <w:rsid w:val="009D59D9"/>
    <w:rsid w:val="009E47DA"/>
    <w:rsid w:val="009E4B8B"/>
    <w:rsid w:val="009F1975"/>
    <w:rsid w:val="009F2C4A"/>
    <w:rsid w:val="009F4C93"/>
    <w:rsid w:val="009F7118"/>
    <w:rsid w:val="00A00256"/>
    <w:rsid w:val="00A01F83"/>
    <w:rsid w:val="00A04EFC"/>
    <w:rsid w:val="00A0577F"/>
    <w:rsid w:val="00A079D0"/>
    <w:rsid w:val="00A10296"/>
    <w:rsid w:val="00A14981"/>
    <w:rsid w:val="00A15647"/>
    <w:rsid w:val="00A170AB"/>
    <w:rsid w:val="00A17C63"/>
    <w:rsid w:val="00A22243"/>
    <w:rsid w:val="00A23786"/>
    <w:rsid w:val="00A24FCE"/>
    <w:rsid w:val="00A25581"/>
    <w:rsid w:val="00A262B5"/>
    <w:rsid w:val="00A2667D"/>
    <w:rsid w:val="00A3107B"/>
    <w:rsid w:val="00A316D1"/>
    <w:rsid w:val="00A3188C"/>
    <w:rsid w:val="00A43BB1"/>
    <w:rsid w:val="00A45BBB"/>
    <w:rsid w:val="00A51CF4"/>
    <w:rsid w:val="00A54B59"/>
    <w:rsid w:val="00A5583E"/>
    <w:rsid w:val="00A566F9"/>
    <w:rsid w:val="00A56872"/>
    <w:rsid w:val="00A56940"/>
    <w:rsid w:val="00A57197"/>
    <w:rsid w:val="00A60F89"/>
    <w:rsid w:val="00A612F6"/>
    <w:rsid w:val="00A61E02"/>
    <w:rsid w:val="00A62E84"/>
    <w:rsid w:val="00A6729A"/>
    <w:rsid w:val="00A70FD3"/>
    <w:rsid w:val="00A72372"/>
    <w:rsid w:val="00A72E3B"/>
    <w:rsid w:val="00A745C3"/>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C7FDA"/>
    <w:rsid w:val="00AD057C"/>
    <w:rsid w:val="00AD1481"/>
    <w:rsid w:val="00AD54C6"/>
    <w:rsid w:val="00AD789C"/>
    <w:rsid w:val="00AE1395"/>
    <w:rsid w:val="00AE3EA4"/>
    <w:rsid w:val="00AE5DFC"/>
    <w:rsid w:val="00AE7A21"/>
    <w:rsid w:val="00AF0A2A"/>
    <w:rsid w:val="00AF0BBE"/>
    <w:rsid w:val="00AF0DE7"/>
    <w:rsid w:val="00AF169F"/>
    <w:rsid w:val="00AF232A"/>
    <w:rsid w:val="00AF2A8F"/>
    <w:rsid w:val="00AF33B9"/>
    <w:rsid w:val="00AF4162"/>
    <w:rsid w:val="00AF6615"/>
    <w:rsid w:val="00B0007A"/>
    <w:rsid w:val="00B0278D"/>
    <w:rsid w:val="00B03C44"/>
    <w:rsid w:val="00B0405B"/>
    <w:rsid w:val="00B10694"/>
    <w:rsid w:val="00B107A9"/>
    <w:rsid w:val="00B12DEA"/>
    <w:rsid w:val="00B161AB"/>
    <w:rsid w:val="00B205B4"/>
    <w:rsid w:val="00B23073"/>
    <w:rsid w:val="00B252F9"/>
    <w:rsid w:val="00B320DD"/>
    <w:rsid w:val="00B36730"/>
    <w:rsid w:val="00B3760F"/>
    <w:rsid w:val="00B37BC5"/>
    <w:rsid w:val="00B4538D"/>
    <w:rsid w:val="00B4790E"/>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0253"/>
    <w:rsid w:val="00B70683"/>
    <w:rsid w:val="00B70C1D"/>
    <w:rsid w:val="00B72A56"/>
    <w:rsid w:val="00B7491D"/>
    <w:rsid w:val="00B77AFF"/>
    <w:rsid w:val="00B81AC7"/>
    <w:rsid w:val="00B81E26"/>
    <w:rsid w:val="00B84429"/>
    <w:rsid w:val="00B84A39"/>
    <w:rsid w:val="00B860D2"/>
    <w:rsid w:val="00B87327"/>
    <w:rsid w:val="00B8795A"/>
    <w:rsid w:val="00B932D4"/>
    <w:rsid w:val="00B964BD"/>
    <w:rsid w:val="00BA1A85"/>
    <w:rsid w:val="00BA1E1F"/>
    <w:rsid w:val="00BA65B7"/>
    <w:rsid w:val="00BA7DD1"/>
    <w:rsid w:val="00BB0A44"/>
    <w:rsid w:val="00BB2B66"/>
    <w:rsid w:val="00BB3087"/>
    <w:rsid w:val="00BB664B"/>
    <w:rsid w:val="00BB7592"/>
    <w:rsid w:val="00BB7CEA"/>
    <w:rsid w:val="00BC17F9"/>
    <w:rsid w:val="00BC28B5"/>
    <w:rsid w:val="00BC5446"/>
    <w:rsid w:val="00BC6AF5"/>
    <w:rsid w:val="00BD00C3"/>
    <w:rsid w:val="00BD4F45"/>
    <w:rsid w:val="00BE0A42"/>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2FC3"/>
    <w:rsid w:val="00C33E5F"/>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59B"/>
    <w:rsid w:val="00C71650"/>
    <w:rsid w:val="00C77FE4"/>
    <w:rsid w:val="00C81C6F"/>
    <w:rsid w:val="00C82257"/>
    <w:rsid w:val="00C82B4C"/>
    <w:rsid w:val="00C83370"/>
    <w:rsid w:val="00C86531"/>
    <w:rsid w:val="00C94BF4"/>
    <w:rsid w:val="00C95234"/>
    <w:rsid w:val="00C95BED"/>
    <w:rsid w:val="00CA280B"/>
    <w:rsid w:val="00CA465D"/>
    <w:rsid w:val="00CA4941"/>
    <w:rsid w:val="00CA6755"/>
    <w:rsid w:val="00CB0CBA"/>
    <w:rsid w:val="00CB1A51"/>
    <w:rsid w:val="00CB38BB"/>
    <w:rsid w:val="00CB3EDB"/>
    <w:rsid w:val="00CB6BC0"/>
    <w:rsid w:val="00CB6E41"/>
    <w:rsid w:val="00CC048C"/>
    <w:rsid w:val="00CC1305"/>
    <w:rsid w:val="00CC345F"/>
    <w:rsid w:val="00CC44EC"/>
    <w:rsid w:val="00CC4529"/>
    <w:rsid w:val="00CC6A45"/>
    <w:rsid w:val="00CD0165"/>
    <w:rsid w:val="00CD1953"/>
    <w:rsid w:val="00CD1D7F"/>
    <w:rsid w:val="00CD3332"/>
    <w:rsid w:val="00CD34EC"/>
    <w:rsid w:val="00CD3D41"/>
    <w:rsid w:val="00CD5023"/>
    <w:rsid w:val="00CD6E06"/>
    <w:rsid w:val="00CE011D"/>
    <w:rsid w:val="00CE0323"/>
    <w:rsid w:val="00CE3C29"/>
    <w:rsid w:val="00CE4EB6"/>
    <w:rsid w:val="00CE53EB"/>
    <w:rsid w:val="00CE5573"/>
    <w:rsid w:val="00CE7383"/>
    <w:rsid w:val="00CE78BF"/>
    <w:rsid w:val="00CF4699"/>
    <w:rsid w:val="00CF4F06"/>
    <w:rsid w:val="00CF5169"/>
    <w:rsid w:val="00CF5AF6"/>
    <w:rsid w:val="00CF71F8"/>
    <w:rsid w:val="00D024C6"/>
    <w:rsid w:val="00D04E7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12A0"/>
    <w:rsid w:val="00D5372F"/>
    <w:rsid w:val="00D53B71"/>
    <w:rsid w:val="00D60B20"/>
    <w:rsid w:val="00D61D15"/>
    <w:rsid w:val="00D62532"/>
    <w:rsid w:val="00D65D1E"/>
    <w:rsid w:val="00D66618"/>
    <w:rsid w:val="00D67D3A"/>
    <w:rsid w:val="00D714B1"/>
    <w:rsid w:val="00D71C56"/>
    <w:rsid w:val="00D7389C"/>
    <w:rsid w:val="00D74DD0"/>
    <w:rsid w:val="00D759D8"/>
    <w:rsid w:val="00D77571"/>
    <w:rsid w:val="00D81C97"/>
    <w:rsid w:val="00D81FF2"/>
    <w:rsid w:val="00D82760"/>
    <w:rsid w:val="00D82989"/>
    <w:rsid w:val="00D8422D"/>
    <w:rsid w:val="00D8549C"/>
    <w:rsid w:val="00D85D32"/>
    <w:rsid w:val="00D86DB2"/>
    <w:rsid w:val="00D87334"/>
    <w:rsid w:val="00D90DC8"/>
    <w:rsid w:val="00D91DCF"/>
    <w:rsid w:val="00D91E17"/>
    <w:rsid w:val="00D9592C"/>
    <w:rsid w:val="00D9709A"/>
    <w:rsid w:val="00DA12F3"/>
    <w:rsid w:val="00DA2D4C"/>
    <w:rsid w:val="00DA39F6"/>
    <w:rsid w:val="00DA4B53"/>
    <w:rsid w:val="00DA5741"/>
    <w:rsid w:val="00DA5CFB"/>
    <w:rsid w:val="00DA6A61"/>
    <w:rsid w:val="00DB558F"/>
    <w:rsid w:val="00DB639C"/>
    <w:rsid w:val="00DB6F98"/>
    <w:rsid w:val="00DC128E"/>
    <w:rsid w:val="00DC508A"/>
    <w:rsid w:val="00DC5AF3"/>
    <w:rsid w:val="00DC79AF"/>
    <w:rsid w:val="00DC7E31"/>
    <w:rsid w:val="00DD2DE4"/>
    <w:rsid w:val="00DE1DA8"/>
    <w:rsid w:val="00DE1FAE"/>
    <w:rsid w:val="00DE418F"/>
    <w:rsid w:val="00DE4CE8"/>
    <w:rsid w:val="00DF0192"/>
    <w:rsid w:val="00DF1FEB"/>
    <w:rsid w:val="00DF20C9"/>
    <w:rsid w:val="00DF2193"/>
    <w:rsid w:val="00DF3512"/>
    <w:rsid w:val="00DF518D"/>
    <w:rsid w:val="00E02A4E"/>
    <w:rsid w:val="00E04402"/>
    <w:rsid w:val="00E04608"/>
    <w:rsid w:val="00E056BC"/>
    <w:rsid w:val="00E062E1"/>
    <w:rsid w:val="00E1404E"/>
    <w:rsid w:val="00E141C5"/>
    <w:rsid w:val="00E145BB"/>
    <w:rsid w:val="00E15D89"/>
    <w:rsid w:val="00E20DB9"/>
    <w:rsid w:val="00E21A00"/>
    <w:rsid w:val="00E22F1A"/>
    <w:rsid w:val="00E24F23"/>
    <w:rsid w:val="00E25F16"/>
    <w:rsid w:val="00E260B7"/>
    <w:rsid w:val="00E270C1"/>
    <w:rsid w:val="00E30BB1"/>
    <w:rsid w:val="00E310EE"/>
    <w:rsid w:val="00E3685A"/>
    <w:rsid w:val="00E374F5"/>
    <w:rsid w:val="00E43598"/>
    <w:rsid w:val="00E462A8"/>
    <w:rsid w:val="00E5286C"/>
    <w:rsid w:val="00E52BA9"/>
    <w:rsid w:val="00E52C0B"/>
    <w:rsid w:val="00E62532"/>
    <w:rsid w:val="00E62FC6"/>
    <w:rsid w:val="00E63741"/>
    <w:rsid w:val="00E63BF3"/>
    <w:rsid w:val="00E6508E"/>
    <w:rsid w:val="00E666B0"/>
    <w:rsid w:val="00E71179"/>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B621E"/>
    <w:rsid w:val="00EC25FF"/>
    <w:rsid w:val="00EC2912"/>
    <w:rsid w:val="00EC2B7E"/>
    <w:rsid w:val="00EC520B"/>
    <w:rsid w:val="00ED0341"/>
    <w:rsid w:val="00ED0A66"/>
    <w:rsid w:val="00ED1B8D"/>
    <w:rsid w:val="00ED1F01"/>
    <w:rsid w:val="00ED1F0D"/>
    <w:rsid w:val="00ED2407"/>
    <w:rsid w:val="00ED25A9"/>
    <w:rsid w:val="00ED3246"/>
    <w:rsid w:val="00ED4616"/>
    <w:rsid w:val="00ED51E6"/>
    <w:rsid w:val="00EE3FB6"/>
    <w:rsid w:val="00EE54AA"/>
    <w:rsid w:val="00EE6872"/>
    <w:rsid w:val="00EF2EE9"/>
    <w:rsid w:val="00EF3B39"/>
    <w:rsid w:val="00EF3E02"/>
    <w:rsid w:val="00F03683"/>
    <w:rsid w:val="00F068F9"/>
    <w:rsid w:val="00F1369B"/>
    <w:rsid w:val="00F15811"/>
    <w:rsid w:val="00F163BD"/>
    <w:rsid w:val="00F168FE"/>
    <w:rsid w:val="00F171AE"/>
    <w:rsid w:val="00F17E82"/>
    <w:rsid w:val="00F22517"/>
    <w:rsid w:val="00F22DF2"/>
    <w:rsid w:val="00F238F7"/>
    <w:rsid w:val="00F2417A"/>
    <w:rsid w:val="00F30C4C"/>
    <w:rsid w:val="00F31DE5"/>
    <w:rsid w:val="00F33E4C"/>
    <w:rsid w:val="00F33F14"/>
    <w:rsid w:val="00F343B9"/>
    <w:rsid w:val="00F34571"/>
    <w:rsid w:val="00F34673"/>
    <w:rsid w:val="00F356C2"/>
    <w:rsid w:val="00F4119F"/>
    <w:rsid w:val="00F41BDB"/>
    <w:rsid w:val="00F52089"/>
    <w:rsid w:val="00F5494D"/>
    <w:rsid w:val="00F57F61"/>
    <w:rsid w:val="00F62A4A"/>
    <w:rsid w:val="00F63237"/>
    <w:rsid w:val="00F6523C"/>
    <w:rsid w:val="00F677F6"/>
    <w:rsid w:val="00F7008B"/>
    <w:rsid w:val="00F70374"/>
    <w:rsid w:val="00F750B2"/>
    <w:rsid w:val="00F77992"/>
    <w:rsid w:val="00F817C3"/>
    <w:rsid w:val="00F81F7B"/>
    <w:rsid w:val="00F82AFB"/>
    <w:rsid w:val="00F846F9"/>
    <w:rsid w:val="00F905E5"/>
    <w:rsid w:val="00F90B59"/>
    <w:rsid w:val="00F90C05"/>
    <w:rsid w:val="00F93996"/>
    <w:rsid w:val="00F941E4"/>
    <w:rsid w:val="00F94767"/>
    <w:rsid w:val="00FA1FC6"/>
    <w:rsid w:val="00FA3B2A"/>
    <w:rsid w:val="00FA538B"/>
    <w:rsid w:val="00FB3EE5"/>
    <w:rsid w:val="00FB4413"/>
    <w:rsid w:val="00FB5B87"/>
    <w:rsid w:val="00FB6AEC"/>
    <w:rsid w:val="00FC1493"/>
    <w:rsid w:val="00FC3CD9"/>
    <w:rsid w:val="00FC3FFC"/>
    <w:rsid w:val="00FC403A"/>
    <w:rsid w:val="00FD5374"/>
    <w:rsid w:val="00FD543A"/>
    <w:rsid w:val="00FD62A0"/>
    <w:rsid w:val="00FD7DE1"/>
    <w:rsid w:val="00FE032C"/>
    <w:rsid w:val="00FE2A43"/>
    <w:rsid w:val="00FE3B61"/>
    <w:rsid w:val="00FE3E5C"/>
    <w:rsid w:val="00FE40C4"/>
    <w:rsid w:val="00FE4E8E"/>
    <w:rsid w:val="00FF1A4D"/>
    <w:rsid w:val="00FF3725"/>
    <w:rsid w:val="00FF4372"/>
    <w:rsid w:val="00FF45B6"/>
    <w:rsid w:val="00FF4EA6"/>
    <w:rsid w:val="00FF5BFB"/>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7A"/>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unhideWhenUsed/>
    <w:rsid w:val="00C36467"/>
    <w:rPr>
      <w:sz w:val="20"/>
      <w:szCs w:val="20"/>
    </w:rPr>
  </w:style>
  <w:style w:type="character" w:customStyle="1" w:styleId="FootnoteTextChar">
    <w:name w:val="Footnote Text Char"/>
    <w:basedOn w:val="DefaultParagraphFont"/>
    <w:link w:val="FootnoteText"/>
    <w:uiPriority w:val="99"/>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26904250">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393159809">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499391102">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685206225">
      <w:bodyDiv w:val="1"/>
      <w:marLeft w:val="0"/>
      <w:marRight w:val="0"/>
      <w:marTop w:val="0"/>
      <w:marBottom w:val="0"/>
      <w:divBdr>
        <w:top w:val="none" w:sz="0" w:space="0" w:color="auto"/>
        <w:left w:val="none" w:sz="0" w:space="0" w:color="auto"/>
        <w:bottom w:val="none" w:sz="0" w:space="0" w:color="auto"/>
        <w:right w:val="none" w:sz="0" w:space="0" w:color="auto"/>
      </w:divBdr>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5075363">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0031725">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5508047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35</Pages>
  <Words>8396</Words>
  <Characters>44588</Characters>
  <Application>Microsoft Office Word</Application>
  <DocSecurity>0</DocSecurity>
  <Lines>2477</Lines>
  <Paragraphs>1655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51329</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34</cp:revision>
  <dcterms:created xsi:type="dcterms:W3CDTF">2020-11-24T22:25:00Z</dcterms:created>
  <dcterms:modified xsi:type="dcterms:W3CDTF">2020-11-25T04:19:00Z</dcterms:modified>
</cp:coreProperties>
</file>