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2D7" w:rsidRPr="00B1096E" w:rsidRDefault="007232D7" w:rsidP="00B1096E">
      <w:pPr>
        <w:pStyle w:val="a5"/>
        <w:widowControl/>
        <w:spacing w:beforeAutospacing="0" w:afterAutospacing="0" w:line="480" w:lineRule="auto"/>
        <w:jc w:val="both"/>
        <w:rPr>
          <w:rFonts w:ascii="Times New Roman" w:hAnsi="Times New Roman"/>
          <w:b/>
          <w:bCs/>
          <w:color w:val="000000" w:themeColor="text1"/>
        </w:rPr>
      </w:pPr>
      <w:r w:rsidRPr="00B1096E">
        <w:rPr>
          <w:rFonts w:ascii="Times New Roman" w:hAnsi="Times New Roman"/>
          <w:b/>
          <w:bCs/>
          <w:color w:val="000000" w:themeColor="text1"/>
        </w:rPr>
        <w:t xml:space="preserve">Question 1:                        </w:t>
      </w:r>
    </w:p>
    <w:p w:rsidR="007232D7" w:rsidRPr="00B1096E" w:rsidRDefault="007232D7" w:rsidP="00B1096E">
      <w:pPr>
        <w:pStyle w:val="a5"/>
        <w:widowControl/>
        <w:numPr>
          <w:ilvl w:val="0"/>
          <w:numId w:val="1"/>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In the Income Statements, the income tax expense is $M 4,026 for the Group, and $M 3,293 for the Bank.</w:t>
      </w:r>
    </w:p>
    <w:p w:rsidR="007232D7" w:rsidRPr="00B1096E" w:rsidRDefault="007232D7" w:rsidP="00B1096E">
      <w:pPr>
        <w:pStyle w:val="a5"/>
        <w:widowControl/>
        <w:numPr>
          <w:ilvl w:val="0"/>
          <w:numId w:val="1"/>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 xml:space="preserve"> In the Note 2.5, the income tax expense include Current tax expense and Deferred tax expense/ (benefit) from ordinary activities in Australia and overseas. The Current tax expense is respectively $M3,956 and $M969 in Australia and overseas, and the Deferred tax expense/ (benefit) is $M -416 and $M -483 in Australia and overseas.</w:t>
      </w:r>
    </w:p>
    <w:p w:rsidR="007232D7" w:rsidRPr="00B1096E" w:rsidRDefault="007232D7" w:rsidP="00B1096E">
      <w:pPr>
        <w:pStyle w:val="a5"/>
        <w:widowControl/>
        <w:numPr>
          <w:ilvl w:val="0"/>
          <w:numId w:val="1"/>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The temporary differences are differences in time or tax basis determined by tax regulations and accounting standards when recognizing some assets and liabilities. The amount of deferred income tax assets includes a temporary difference of $M991 (deductible temporary difference) due to the provision for impairment of loans, discounted notes and other receivables, and the balance of deferred income tax liabilities includes temporary differences due to the following reasons: lease financing is $M 200 .</w:t>
      </w:r>
    </w:p>
    <w:p w:rsidR="007232D7" w:rsidRPr="00B1096E" w:rsidRDefault="007232D7" w:rsidP="00B1096E">
      <w:pPr>
        <w:pStyle w:val="a5"/>
        <w:widowControl/>
        <w:numPr>
          <w:ilvl w:val="0"/>
          <w:numId w:val="1"/>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w:t>
      </w:r>
      <w:r w:rsidRPr="00B1096E">
        <w:rPr>
          <w:rFonts w:ascii="Times New Roman" w:hAnsi="Times New Roman"/>
        </w:rPr>
        <w:t xml:space="preserve"> </w:t>
      </w:r>
      <w:r w:rsidRPr="00B1096E">
        <w:rPr>
          <w:rFonts w:ascii="Times New Roman" w:hAnsi="Times New Roman"/>
          <w:color w:val="000000" w:themeColor="text1"/>
        </w:rPr>
        <w:t>Income tax cash flows are cash flows from operating activities, with the group’s cash flow of $M 4,791.</w:t>
      </w:r>
    </w:p>
    <w:p w:rsidR="007232D7" w:rsidRPr="00B1096E" w:rsidRDefault="007232D7" w:rsidP="00B1096E">
      <w:pPr>
        <w:pStyle w:val="a5"/>
        <w:widowControl/>
        <w:numPr>
          <w:ilvl w:val="0"/>
          <w:numId w:val="1"/>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 xml:space="preserve">In the Balance Sheets, there is a balance of deferred tax assets $M1,439, the deferred tax liabilities closing balance is 0. Deferred tax assets is confirmed because of deductible differences. For example, impairment provisions for loans, discounted notes and other receivables can lead to deductible differences. Due to the impairment of the receivables, the economic benefits generated by the assets in the </w:t>
      </w:r>
      <w:r w:rsidRPr="00B1096E">
        <w:rPr>
          <w:rFonts w:ascii="Times New Roman" w:hAnsi="Times New Roman"/>
          <w:color w:val="000000" w:themeColor="text1"/>
        </w:rPr>
        <w:lastRenderedPageBreak/>
        <w:t xml:space="preserve">future will be less. If the amount of pre-tax deduction is allowed in accordance with the tax law, there will be difference between the book value and the tax base in the future. During the period, the taxable income can be reduced and the income tax payable should be reduced. When the relevant conditions are met, the relevant deferred income tax assets should be recognized. </w:t>
      </w:r>
    </w:p>
    <w:p w:rsidR="007232D7" w:rsidRPr="00B1096E" w:rsidRDefault="007232D7" w:rsidP="00B1096E">
      <w:pPr>
        <w:pStyle w:val="a5"/>
        <w:widowControl/>
        <w:numPr>
          <w:ilvl w:val="0"/>
          <w:numId w:val="1"/>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The current tax liability (income tax payable) is $M 952, while the income tax expense $M 4,026, they are not equal for two reason: 1) part of the expenses is paid in 2018 ($M 4,791); 2) The deferred tax exists.</w:t>
      </w:r>
    </w:p>
    <w:p w:rsidR="007232D7" w:rsidRPr="00B1096E" w:rsidRDefault="007232D7" w:rsidP="00B1096E">
      <w:pPr>
        <w:pStyle w:val="a5"/>
        <w:widowControl/>
        <w:spacing w:beforeAutospacing="0" w:afterAutospacing="0" w:line="480" w:lineRule="auto"/>
        <w:jc w:val="right"/>
        <w:rPr>
          <w:rFonts w:ascii="Times New Roman" w:hAnsi="Times New Roman"/>
          <w:color w:val="000000" w:themeColor="text1"/>
        </w:rPr>
      </w:pPr>
      <w:r w:rsidRPr="00B1096E">
        <w:rPr>
          <w:rFonts w:ascii="Times New Roman" w:hAnsi="Times New Roman"/>
          <w:color w:val="000000" w:themeColor="text1"/>
        </w:rPr>
        <w:t>Words: 330</w:t>
      </w:r>
    </w:p>
    <w:p w:rsidR="007232D7" w:rsidRPr="00B1096E" w:rsidRDefault="007232D7" w:rsidP="00B1096E">
      <w:pPr>
        <w:pStyle w:val="a5"/>
        <w:widowControl/>
        <w:spacing w:beforeAutospacing="0" w:afterAutospacing="0" w:line="480" w:lineRule="auto"/>
        <w:jc w:val="both"/>
        <w:rPr>
          <w:rFonts w:ascii="Times New Roman" w:hAnsi="Times New Roman"/>
          <w:b/>
          <w:bCs/>
          <w:color w:val="000000" w:themeColor="text1"/>
        </w:rPr>
      </w:pPr>
      <w:r w:rsidRPr="00B1096E">
        <w:rPr>
          <w:rFonts w:ascii="Times New Roman" w:hAnsi="Times New Roman"/>
          <w:b/>
          <w:bCs/>
          <w:color w:val="000000" w:themeColor="text1"/>
        </w:rPr>
        <w:t xml:space="preserve">Question 2:                     </w:t>
      </w:r>
    </w:p>
    <w:p w:rsidR="007232D7" w:rsidRPr="00B1096E" w:rsidRDefault="007232D7" w:rsidP="00B1096E">
      <w:pPr>
        <w:pStyle w:val="a5"/>
        <w:widowControl/>
        <w:numPr>
          <w:ilvl w:val="0"/>
          <w:numId w:val="2"/>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The intangible assets of the Group is $M 9,023, and the total assets is $M 975,165, so the portion that intangible assets accounts for the total assets is 0.93% (9,023/975,165*100%). In the Note 6.2, intangible assets include Goodwill ($M 6,941), Computer Software Costs ($M 1,819), Brand Names ($M 205), Other Intangibles such as customer relationships ($M 58). Each year, The CBA assesses whether these intangible assets are impaired and generally compares the carrying value of the cash generation unit or group of cash generation units with the recoverable amount. The recoverable amount is determined at fair value less the cost of sale.</w:t>
      </w:r>
    </w:p>
    <w:p w:rsidR="007232D7" w:rsidRPr="00B1096E" w:rsidRDefault="007232D7" w:rsidP="00B1096E">
      <w:pPr>
        <w:pStyle w:val="a5"/>
        <w:widowControl/>
        <w:numPr>
          <w:ilvl w:val="0"/>
          <w:numId w:val="2"/>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 xml:space="preserve">The loan impairment expense in Income Statements is $M 1,079. The impairment recognized by the Group is mainly related to the loan and some other receivables. Since the bank's main business is to provide loans to customers, it faces the risk </w:t>
      </w:r>
      <w:r w:rsidRPr="00B1096E">
        <w:rPr>
          <w:rFonts w:ascii="Times New Roman" w:hAnsi="Times New Roman"/>
          <w:color w:val="000000" w:themeColor="text1"/>
        </w:rPr>
        <w:lastRenderedPageBreak/>
        <w:t>that customers will not be able to repay the entire loan. Therefore, CBA needs to make provision for impairment of these loans. In addition, credit losses come from other credit instruments, such as bank acceptance of bills of exchange, contingent liabilities and other financial instruments. According to the guidelines, the bank should first conduct an impairment test on the loan. If there is objective evidence indicating the impairment of the loan, then the impairment measurement is carried out, and the impairment provision is made based on the measurement result. The loan loss provision for the current period is the difference between the book value of the loan and the present value of the expected future recoverable amount at the end of the period. Therefore, CBA conducts impairment testing on these assets on each balance sheet date.</w:t>
      </w:r>
      <w:r w:rsidRPr="00B1096E">
        <w:rPr>
          <w:rFonts w:ascii="Times New Roman" w:hAnsi="Times New Roman"/>
        </w:rPr>
        <w:t xml:space="preserve"> </w:t>
      </w:r>
      <w:r w:rsidRPr="00B1096E">
        <w:rPr>
          <w:rFonts w:ascii="Times New Roman" w:hAnsi="Times New Roman"/>
          <w:color w:val="000000" w:themeColor="text1"/>
        </w:rPr>
        <w:t>The total impairment provision accounted for 33.60% of the total impairment assets, and the total impairment loss provision accounted for 0.49% of the total loan and acceptance bills of exchange.</w:t>
      </w:r>
    </w:p>
    <w:p w:rsidR="007232D7" w:rsidRPr="00B1096E" w:rsidRDefault="007232D7" w:rsidP="00B1096E">
      <w:pPr>
        <w:pStyle w:val="a5"/>
        <w:widowControl/>
        <w:numPr>
          <w:ilvl w:val="0"/>
          <w:numId w:val="2"/>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 xml:space="preserve">The Group confirmed the revaluation of some properties this year, including land and buildings, foreign currency. The asset revaluation reserve is $M 35. CBA measures its land and buildings at fair value based on annual independent market valuations. Revaluation adjustments are reflected in the asset revaluation reserve unless they return the revaluation reduction previously recognized in the profit and loss statement. At the time of sale, the variable cash amount provided for in the revaluation of assets is transferred to retained profits. The revaluation of monetary assets and liabilities in foreign currencies is based on the spot exchange rate at the settlement date. Currency items at different interest rates are settled or converted </w:t>
      </w:r>
      <w:r w:rsidRPr="00B1096E">
        <w:rPr>
          <w:rFonts w:ascii="Times New Roman" w:hAnsi="Times New Roman"/>
          <w:color w:val="000000" w:themeColor="text1"/>
        </w:rPr>
        <w:lastRenderedPageBreak/>
        <w:t>to initial recognition or exchange differences resulting from previously reported currency items are recognized in the profit and loss statement</w:t>
      </w:r>
    </w:p>
    <w:p w:rsidR="007232D7" w:rsidRPr="00B1096E" w:rsidRDefault="007232D7" w:rsidP="00B1096E">
      <w:pPr>
        <w:pStyle w:val="a5"/>
        <w:widowControl/>
        <w:spacing w:beforeAutospacing="0" w:afterAutospacing="0" w:line="480" w:lineRule="auto"/>
        <w:jc w:val="right"/>
        <w:rPr>
          <w:rFonts w:ascii="Times New Roman" w:hAnsi="Times New Roman"/>
          <w:color w:val="000000" w:themeColor="text1"/>
        </w:rPr>
      </w:pPr>
      <w:r w:rsidRPr="00B1096E">
        <w:rPr>
          <w:rFonts w:ascii="Times New Roman" w:hAnsi="Times New Roman"/>
          <w:color w:val="000000" w:themeColor="text1"/>
        </w:rPr>
        <w:t>Words: 447</w:t>
      </w:r>
    </w:p>
    <w:p w:rsidR="007232D7" w:rsidRPr="00B1096E" w:rsidRDefault="007232D7" w:rsidP="00B1096E">
      <w:pPr>
        <w:pStyle w:val="a5"/>
        <w:widowControl/>
        <w:spacing w:beforeAutospacing="0" w:afterAutospacing="0" w:line="480" w:lineRule="auto"/>
        <w:jc w:val="both"/>
        <w:rPr>
          <w:rFonts w:ascii="Times New Roman" w:hAnsi="Times New Roman"/>
          <w:b/>
          <w:bCs/>
          <w:color w:val="000000" w:themeColor="text1"/>
        </w:rPr>
      </w:pPr>
      <w:r w:rsidRPr="00B1096E">
        <w:rPr>
          <w:rFonts w:ascii="Times New Roman" w:hAnsi="Times New Roman"/>
          <w:b/>
          <w:bCs/>
          <w:color w:val="000000" w:themeColor="text1"/>
        </w:rPr>
        <w:t xml:space="preserve">Question 3                               </w:t>
      </w:r>
    </w:p>
    <w:p w:rsidR="007232D7" w:rsidRPr="00B1096E" w:rsidRDefault="007232D7" w:rsidP="00B1096E">
      <w:pPr>
        <w:pStyle w:val="a5"/>
        <w:widowControl/>
        <w:numPr>
          <w:ilvl w:val="0"/>
          <w:numId w:val="3"/>
        </w:numPr>
        <w:spacing w:before="100" w:after="10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 xml:space="preserve">In 2018, AASB 117 Leases is applied by CBA, which provides the lessee and lessor with appropriate accounting policies and disclosures that should be used for finance leases and operating leases. For CBA, it has no </w:t>
      </w:r>
      <w:r w:rsidRPr="00B1096E">
        <w:rPr>
          <w:rFonts w:ascii="Times New Roman" w:hAnsi="Times New Roman"/>
          <w:color w:val="000000" w:themeColor="text1"/>
          <w:lang w:val="en-AU"/>
        </w:rPr>
        <w:t xml:space="preserve">lease commitments as lessee at 30 June 2018. It acts as a lessor to provide finance leases and </w:t>
      </w:r>
      <w:r w:rsidRPr="00B1096E">
        <w:rPr>
          <w:rFonts w:ascii="Times New Roman" w:hAnsi="Times New Roman"/>
          <w:color w:val="000000" w:themeColor="text1"/>
        </w:rPr>
        <w:t>operating leases to the customer. Lease is primarily for commercial and retail locations as well as factories and equipment. As of June 30, 2018, the total amount of future sublease payments expected to be received is $88 million.</w:t>
      </w:r>
    </w:p>
    <w:p w:rsidR="007232D7" w:rsidRPr="00B1096E" w:rsidRDefault="007232D7" w:rsidP="00B1096E">
      <w:pPr>
        <w:pStyle w:val="a5"/>
        <w:widowControl/>
        <w:numPr>
          <w:ilvl w:val="0"/>
          <w:numId w:val="3"/>
        </w:numPr>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 xml:space="preserve">Unlike the current lease standard AASB 17, IASB 16 stipulates that except for small leases within 12 months or below a certain amount (such as $5,000), the remaining leases should be included in the financial statement (Miles, </w:t>
      </w:r>
      <w:proofErr w:type="spellStart"/>
      <w:r w:rsidRPr="00B1096E">
        <w:rPr>
          <w:rFonts w:ascii="Times New Roman" w:hAnsi="Times New Roman"/>
          <w:color w:val="000000" w:themeColor="text1"/>
        </w:rPr>
        <w:t>Ezzell</w:t>
      </w:r>
      <w:proofErr w:type="spellEnd"/>
      <w:r w:rsidRPr="00B1096E">
        <w:rPr>
          <w:rFonts w:ascii="Times New Roman" w:hAnsi="Times New Roman"/>
          <w:color w:val="000000" w:themeColor="text1"/>
        </w:rPr>
        <w:t xml:space="preserve"> &amp; Vora, 2018). For the lessee, IASB 16 no longer distinguishes between operating leases and finance leases. The lessee's accounting treatment is mainly as follows: First, accounting confirmation. When a contract is concluded based on an identifiable asset, or when the lessee has the right to control the use of the asset in accordance with the contract, and to obtain approximately all of the economic benefits associated with the use of the asset, the lessee can confirm the lease arrangement in accordance with the new lease criteria. Second, the initial measurement. The lessee makes an initial measurement of its “right to use assets” and lease liabilities based </w:t>
      </w:r>
      <w:r w:rsidRPr="00B1096E">
        <w:rPr>
          <w:rFonts w:ascii="Times New Roman" w:hAnsi="Times New Roman"/>
          <w:color w:val="000000" w:themeColor="text1"/>
        </w:rPr>
        <w:lastRenderedPageBreak/>
        <w:t>on the present value of the lease payments. Third, follow-up measurement. The lessee often uses the straight-line method to depreciate the “right to use assets”. The depreciation period can be the shorter of the lease life and the service life of the right to use. At the same time, the lessee must use the actual interest rate method to confirm the lease liability according to the determined discount rate on the lease start date.</w:t>
      </w:r>
    </w:p>
    <w:p w:rsidR="007232D7" w:rsidRPr="00B1096E" w:rsidRDefault="007232D7" w:rsidP="00B1096E">
      <w:pPr>
        <w:pStyle w:val="a5"/>
        <w:widowControl/>
        <w:spacing w:beforeAutospacing="0" w:afterAutospacing="0" w:line="480" w:lineRule="auto"/>
        <w:ind w:left="360"/>
        <w:jc w:val="both"/>
        <w:rPr>
          <w:rFonts w:ascii="Times New Roman" w:hAnsi="Times New Roman"/>
          <w:color w:val="000000" w:themeColor="text1"/>
        </w:rPr>
      </w:pPr>
      <w:r w:rsidRPr="00B1096E">
        <w:rPr>
          <w:rFonts w:ascii="Times New Roman" w:hAnsi="Times New Roman"/>
          <w:color w:val="000000" w:themeColor="text1"/>
        </w:rPr>
        <w:t>IASB16 will result in changes in the balance sheet of the operating lease lessee, and the assets and liabilities on the balance sheet will increase simultaneously. For the income statement, the depreciation expense of the right-of-use asset and the interest expense of the lease liability will be formed (Warren, 2016).</w:t>
      </w:r>
    </w:p>
    <w:p w:rsidR="007232D7" w:rsidRPr="00B1096E" w:rsidRDefault="007232D7" w:rsidP="00B1096E">
      <w:pPr>
        <w:pStyle w:val="a5"/>
        <w:widowControl/>
        <w:spacing w:beforeAutospacing="0" w:afterAutospacing="0" w:line="480" w:lineRule="auto"/>
        <w:ind w:left="360"/>
        <w:jc w:val="both"/>
        <w:rPr>
          <w:rFonts w:ascii="Times New Roman" w:hAnsi="Times New Roman"/>
          <w:color w:val="000000" w:themeColor="text1"/>
        </w:rPr>
      </w:pPr>
      <w:r w:rsidRPr="00B1096E">
        <w:rPr>
          <w:rFonts w:ascii="Times New Roman" w:hAnsi="Times New Roman"/>
          <w:color w:val="000000" w:themeColor="text1"/>
        </w:rPr>
        <w:t xml:space="preserve">Since the Group is primarily a lessor, providing financial leasing and operating leases to clients, the implementation of the new standards has no material impact on the lessor's financial </w:t>
      </w:r>
      <w:r w:rsidRPr="00B1096E">
        <w:rPr>
          <w:rFonts w:ascii="Times New Roman" w:hAnsi="Times New Roman"/>
          <w:color w:val="000000" w:themeColor="text1"/>
          <w:lang w:val="en-AU"/>
        </w:rPr>
        <w:t>report</w:t>
      </w:r>
      <w:r w:rsidRPr="00B1096E">
        <w:rPr>
          <w:rFonts w:ascii="Times New Roman" w:hAnsi="Times New Roman"/>
          <w:color w:val="000000" w:themeColor="text1"/>
        </w:rPr>
        <w:t xml:space="preserve">. </w:t>
      </w:r>
    </w:p>
    <w:p w:rsidR="007232D7" w:rsidRPr="00B1096E" w:rsidRDefault="007232D7" w:rsidP="00B1096E">
      <w:pPr>
        <w:pStyle w:val="a5"/>
        <w:widowControl/>
        <w:spacing w:beforeAutospacing="0" w:afterAutospacing="0" w:line="480" w:lineRule="auto"/>
        <w:ind w:leftChars="-200" w:left="-420"/>
        <w:jc w:val="right"/>
        <w:rPr>
          <w:rFonts w:ascii="Times New Roman" w:hAnsi="Times New Roman"/>
          <w:color w:val="000000" w:themeColor="text1"/>
        </w:rPr>
      </w:pPr>
      <w:r w:rsidRPr="00B1096E">
        <w:rPr>
          <w:rFonts w:ascii="Times New Roman" w:hAnsi="Times New Roman"/>
          <w:color w:val="000000" w:themeColor="text1"/>
        </w:rPr>
        <w:t>Words: 386</w:t>
      </w:r>
    </w:p>
    <w:p w:rsidR="007232D7" w:rsidRPr="00B1096E" w:rsidRDefault="007232D7" w:rsidP="00B1096E">
      <w:pPr>
        <w:pStyle w:val="a5"/>
        <w:widowControl/>
        <w:spacing w:beforeAutospacing="0" w:afterAutospacing="0" w:line="480" w:lineRule="auto"/>
        <w:jc w:val="both"/>
        <w:rPr>
          <w:rFonts w:ascii="Times New Roman" w:hAnsi="Times New Roman"/>
          <w:b/>
          <w:bCs/>
          <w:color w:val="000000" w:themeColor="text1"/>
        </w:rPr>
      </w:pPr>
      <w:r w:rsidRPr="00B1096E">
        <w:rPr>
          <w:rFonts w:ascii="Times New Roman" w:hAnsi="Times New Roman"/>
          <w:b/>
          <w:bCs/>
          <w:color w:val="000000" w:themeColor="text1"/>
        </w:rPr>
        <w:t xml:space="preserve">Question 4               </w:t>
      </w:r>
    </w:p>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proofErr w:type="spellStart"/>
      <w:r w:rsidRPr="00B1096E">
        <w:rPr>
          <w:rFonts w:ascii="Times New Roman" w:hAnsi="Times New Roman"/>
          <w:color w:val="000000" w:themeColor="text1"/>
        </w:rPr>
        <w:t>i</w:t>
      </w:r>
      <w:proofErr w:type="spellEnd"/>
      <w:r w:rsidRPr="00B1096E">
        <w:rPr>
          <w:rFonts w:ascii="Times New Roman" w:hAnsi="Times New Roman"/>
          <w:color w:val="000000" w:themeColor="text1"/>
        </w:rPr>
        <w:t xml:space="preserve">    </w:t>
      </w:r>
    </w:p>
    <w:p w:rsidR="007232D7" w:rsidRPr="00B1096E" w:rsidRDefault="007232D7" w:rsidP="00B1096E">
      <w:pPr>
        <w:pStyle w:val="a5"/>
        <w:widowControl/>
        <w:numPr>
          <w:ilvl w:val="0"/>
          <w:numId w:val="5"/>
        </w:numPr>
        <w:spacing w:beforeAutospacing="0" w:afterAutospacing="0" w:line="480" w:lineRule="auto"/>
        <w:jc w:val="both"/>
        <w:rPr>
          <w:rFonts w:ascii="Times New Roman" w:hAnsi="Times New Roman"/>
          <w:color w:val="000000" w:themeColor="text1"/>
          <w:lang w:val="en-AU"/>
        </w:rPr>
      </w:pPr>
      <w:r w:rsidRPr="00B1096E">
        <w:rPr>
          <w:rFonts w:ascii="Times New Roman" w:hAnsi="Times New Roman"/>
          <w:color w:val="000000" w:themeColor="text1"/>
          <w:lang w:val="en-AU"/>
        </w:rPr>
        <w:t>The key subsidiaries of the Group are 100%</w:t>
      </w:r>
      <w:r w:rsidRPr="00B1096E">
        <w:rPr>
          <w:rFonts w:ascii="Times New Roman" w:hAnsi="Times New Roman"/>
          <w:color w:val="000000" w:themeColor="text1"/>
          <w:kern w:val="2"/>
        </w:rPr>
        <w:t xml:space="preserve"> </w:t>
      </w:r>
      <w:r w:rsidRPr="00B1096E">
        <w:rPr>
          <w:rFonts w:ascii="Times New Roman" w:hAnsi="Times New Roman"/>
          <w:color w:val="000000" w:themeColor="text1"/>
        </w:rPr>
        <w:t>owned and incorporated in Australia, they are</w:t>
      </w:r>
      <w:r w:rsidRPr="00B1096E">
        <w:rPr>
          <w:rFonts w:ascii="Times New Roman" w:hAnsi="Times New Roman"/>
          <w:color w:val="000000" w:themeColor="text1"/>
          <w:lang w:val="en-AU"/>
        </w:rPr>
        <w:t xml:space="preserve"> identified as followed:</w:t>
      </w:r>
    </w:p>
    <w:p w:rsidR="007232D7" w:rsidRPr="00B1096E" w:rsidRDefault="007232D7" w:rsidP="00B1096E">
      <w:pPr>
        <w:pStyle w:val="a5"/>
        <w:widowControl/>
        <w:spacing w:beforeAutospacing="0" w:afterAutospacing="0" w:line="480" w:lineRule="auto"/>
        <w:ind w:left="600" w:hangingChars="250" w:hanging="600"/>
        <w:jc w:val="both"/>
        <w:rPr>
          <w:rFonts w:ascii="Times New Roman" w:hAnsi="Times New Roman"/>
          <w:color w:val="000000" w:themeColor="text1"/>
        </w:rPr>
      </w:pPr>
      <w:r w:rsidRPr="00B1096E">
        <w:rPr>
          <w:rFonts w:ascii="Times New Roman" w:hAnsi="Times New Roman"/>
          <w:noProof/>
          <w:color w:val="000000" w:themeColor="text1"/>
        </w:rPr>
        <w:lastRenderedPageBreak/>
        <w:drawing>
          <wp:inline distT="0" distB="0" distL="0" distR="0" wp14:anchorId="0AF66718" wp14:editId="29DDC68E">
            <wp:extent cx="5274310" cy="2338705"/>
            <wp:effectExtent l="0" t="0" r="2540" b="4445"/>
            <wp:docPr id="1" name="图片 1"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38705"/>
                    </a:xfrm>
                    <a:prstGeom prst="rect">
                      <a:avLst/>
                    </a:prstGeom>
                  </pic:spPr>
                </pic:pic>
              </a:graphicData>
            </a:graphic>
          </wp:inline>
        </w:drawing>
      </w:r>
    </w:p>
    <w:p w:rsidR="007232D7" w:rsidRPr="00B1096E" w:rsidRDefault="007232D7" w:rsidP="00B1096E">
      <w:pPr>
        <w:pStyle w:val="a5"/>
        <w:spacing w:before="100" w:after="100" w:line="480" w:lineRule="auto"/>
        <w:ind w:left="480" w:hangingChars="200" w:hanging="480"/>
        <w:rPr>
          <w:rFonts w:ascii="Times New Roman" w:hAnsi="Times New Roman"/>
          <w:color w:val="000000" w:themeColor="text1"/>
          <w:lang w:val="en-AU"/>
        </w:rPr>
      </w:pPr>
      <w:r w:rsidRPr="00B1096E">
        <w:rPr>
          <w:rFonts w:ascii="Times New Roman" w:hAnsi="Times New Roman"/>
          <w:color w:val="000000" w:themeColor="text1"/>
          <w:lang w:val="en-AU"/>
        </w:rPr>
        <w:t>The total non-controlling interests is $M 554 at 30 June 2018</w:t>
      </w:r>
    </w:p>
    <w:p w:rsidR="007232D7" w:rsidRPr="00B1096E" w:rsidRDefault="007232D7" w:rsidP="00B1096E">
      <w:pPr>
        <w:pStyle w:val="a5"/>
        <w:widowControl/>
        <w:numPr>
          <w:ilvl w:val="0"/>
          <w:numId w:val="5"/>
        </w:numPr>
        <w:spacing w:line="480" w:lineRule="auto"/>
        <w:rPr>
          <w:rFonts w:ascii="Times New Roman" w:hAnsi="Times New Roman"/>
          <w:color w:val="000000" w:themeColor="text1"/>
          <w:lang w:val="en-AU"/>
        </w:rPr>
      </w:pPr>
      <w:r w:rsidRPr="00B1096E">
        <w:rPr>
          <w:rFonts w:ascii="Times New Roman" w:hAnsi="Times New Roman"/>
          <w:color w:val="000000" w:themeColor="text1"/>
          <w:lang w:val="en-AU"/>
        </w:rPr>
        <w:t xml:space="preserve">In the Comprehensive Income statement, the total Comprehensive Income after income tax is $M 9,399, which includes: </w:t>
      </w:r>
    </w:p>
    <w:p w:rsidR="007232D7" w:rsidRPr="00B1096E" w:rsidRDefault="007232D7" w:rsidP="00B1096E">
      <w:pPr>
        <w:pStyle w:val="a5"/>
        <w:widowControl/>
        <w:spacing w:line="480" w:lineRule="auto"/>
        <w:ind w:left="360"/>
        <w:rPr>
          <w:rFonts w:ascii="Times New Roman" w:hAnsi="Times New Roman"/>
          <w:color w:val="000000" w:themeColor="text1"/>
          <w:lang w:val="en-AU"/>
        </w:rPr>
      </w:pPr>
      <w:r w:rsidRPr="00B1096E">
        <w:rPr>
          <w:rFonts w:ascii="Times New Roman" w:hAnsi="Times New Roman"/>
          <w:color w:val="000000" w:themeColor="text1"/>
          <w:lang w:val="en-AU"/>
        </w:rPr>
        <w:t xml:space="preserve">1) after-tax net profit for the continuing operating period of $M 9,394; </w:t>
      </w:r>
    </w:p>
    <w:p w:rsidR="007232D7" w:rsidRPr="00B1096E" w:rsidRDefault="007232D7" w:rsidP="00B1096E">
      <w:pPr>
        <w:pStyle w:val="a5"/>
        <w:widowControl/>
        <w:spacing w:line="480" w:lineRule="auto"/>
        <w:ind w:left="360"/>
        <w:rPr>
          <w:rFonts w:ascii="Times New Roman" w:hAnsi="Times New Roman"/>
          <w:color w:val="000000" w:themeColor="text1"/>
          <w:lang w:val="en-AU"/>
        </w:rPr>
      </w:pPr>
      <w:r w:rsidRPr="00B1096E">
        <w:rPr>
          <w:rFonts w:ascii="Times New Roman" w:hAnsi="Times New Roman"/>
          <w:color w:val="000000" w:themeColor="text1"/>
          <w:lang w:val="en-AU"/>
        </w:rPr>
        <w:t xml:space="preserve">2) foreign currency translation reserve M $5; </w:t>
      </w:r>
    </w:p>
    <w:p w:rsidR="007232D7" w:rsidRPr="00B1096E" w:rsidRDefault="007232D7" w:rsidP="00B1096E">
      <w:pPr>
        <w:pStyle w:val="a5"/>
        <w:widowControl/>
        <w:spacing w:line="480" w:lineRule="auto"/>
        <w:ind w:left="360"/>
        <w:rPr>
          <w:rFonts w:ascii="Times New Roman" w:hAnsi="Times New Roman"/>
          <w:color w:val="000000" w:themeColor="text1"/>
          <w:lang w:val="en-AU"/>
        </w:rPr>
      </w:pPr>
      <w:r w:rsidRPr="00B1096E">
        <w:rPr>
          <w:rFonts w:ascii="Times New Roman" w:hAnsi="Times New Roman"/>
          <w:color w:val="000000" w:themeColor="text1"/>
          <w:lang w:val="en-AU"/>
        </w:rPr>
        <w:t xml:space="preserve">3) Gains and (losses) on cash flow hedging instruments $M -53; </w:t>
      </w:r>
    </w:p>
    <w:p w:rsidR="007232D7" w:rsidRPr="00B1096E" w:rsidRDefault="007232D7" w:rsidP="00B1096E">
      <w:pPr>
        <w:pStyle w:val="a5"/>
        <w:widowControl/>
        <w:spacing w:line="480" w:lineRule="auto"/>
        <w:ind w:left="360"/>
        <w:rPr>
          <w:rFonts w:ascii="Times New Roman" w:hAnsi="Times New Roman"/>
          <w:color w:val="000000" w:themeColor="text1"/>
          <w:lang w:val="en-AU"/>
        </w:rPr>
      </w:pPr>
      <w:r w:rsidRPr="00B1096E">
        <w:rPr>
          <w:rFonts w:ascii="Times New Roman" w:hAnsi="Times New Roman"/>
          <w:color w:val="000000" w:themeColor="text1"/>
          <w:lang w:val="en-AU"/>
        </w:rPr>
        <w:t xml:space="preserve">4) Gains and (losses) on available-for-sale investments $M-2; </w:t>
      </w:r>
    </w:p>
    <w:p w:rsidR="007232D7" w:rsidRPr="00B1096E" w:rsidRDefault="007232D7" w:rsidP="00B1096E">
      <w:pPr>
        <w:pStyle w:val="a5"/>
        <w:widowControl/>
        <w:spacing w:line="480" w:lineRule="auto"/>
        <w:ind w:left="360"/>
        <w:rPr>
          <w:rFonts w:ascii="Times New Roman" w:hAnsi="Times New Roman"/>
          <w:color w:val="000000" w:themeColor="text1"/>
          <w:lang w:val="en-AU"/>
        </w:rPr>
      </w:pPr>
      <w:r w:rsidRPr="00B1096E">
        <w:rPr>
          <w:rFonts w:ascii="Times New Roman" w:hAnsi="Times New Roman"/>
          <w:color w:val="000000" w:themeColor="text1"/>
          <w:lang w:val="en-AU"/>
        </w:rPr>
        <w:t>5) Actuarial gains from defined benefit superannuation plans $M 161</w:t>
      </w:r>
    </w:p>
    <w:p w:rsidR="007232D7" w:rsidRPr="00B1096E" w:rsidRDefault="007232D7" w:rsidP="00B1096E">
      <w:pPr>
        <w:pStyle w:val="a5"/>
        <w:widowControl/>
        <w:spacing w:line="480" w:lineRule="auto"/>
        <w:ind w:left="360"/>
        <w:rPr>
          <w:rFonts w:ascii="Times New Roman" w:hAnsi="Times New Roman"/>
          <w:color w:val="000000" w:themeColor="text1"/>
          <w:lang w:val="en-AU"/>
        </w:rPr>
      </w:pPr>
      <w:r w:rsidRPr="00B1096E">
        <w:rPr>
          <w:rFonts w:ascii="Times New Roman" w:hAnsi="Times New Roman"/>
          <w:color w:val="000000" w:themeColor="text1"/>
          <w:lang w:val="en-AU"/>
        </w:rPr>
        <w:t xml:space="preserve">6) Losses on liabilities at fair value due to changes in own credit risk net of tax $M-2 ; </w:t>
      </w:r>
    </w:p>
    <w:p w:rsidR="007232D7" w:rsidRPr="00B1096E" w:rsidRDefault="007232D7" w:rsidP="00B1096E">
      <w:pPr>
        <w:pStyle w:val="a5"/>
        <w:widowControl/>
        <w:spacing w:line="480" w:lineRule="auto"/>
        <w:ind w:left="360"/>
        <w:rPr>
          <w:rFonts w:ascii="Times New Roman" w:hAnsi="Times New Roman"/>
          <w:color w:val="000000" w:themeColor="text1"/>
          <w:lang w:val="en-AU"/>
        </w:rPr>
      </w:pPr>
      <w:r w:rsidRPr="00B1096E">
        <w:rPr>
          <w:rFonts w:ascii="Times New Roman" w:hAnsi="Times New Roman"/>
          <w:color w:val="000000" w:themeColor="text1"/>
          <w:lang w:val="en-AU"/>
        </w:rPr>
        <w:t>7) property revaluation $M 31.</w:t>
      </w:r>
    </w:p>
    <w:p w:rsidR="007232D7" w:rsidRPr="00B1096E" w:rsidRDefault="007232D7" w:rsidP="00B1096E">
      <w:pPr>
        <w:pStyle w:val="a5"/>
        <w:widowControl/>
        <w:numPr>
          <w:ilvl w:val="0"/>
          <w:numId w:val="5"/>
        </w:numPr>
        <w:spacing w:beforeAutospacing="0" w:afterAutospacing="0" w:line="480" w:lineRule="auto"/>
        <w:ind w:left="357"/>
        <w:jc w:val="both"/>
        <w:rPr>
          <w:rFonts w:ascii="Times New Roman" w:hAnsi="Times New Roman"/>
          <w:color w:val="000000" w:themeColor="text1"/>
          <w:lang w:val="en-AU"/>
        </w:rPr>
      </w:pPr>
    </w:p>
    <w:p w:rsidR="007232D7" w:rsidRPr="00B1096E" w:rsidRDefault="007232D7" w:rsidP="00B1096E">
      <w:pPr>
        <w:pStyle w:val="a5"/>
        <w:widowControl/>
        <w:spacing w:beforeAutospacing="0" w:afterAutospacing="0" w:line="480" w:lineRule="auto"/>
        <w:ind w:left="357"/>
        <w:jc w:val="both"/>
        <w:rPr>
          <w:rFonts w:ascii="Times New Roman" w:hAnsi="Times New Roman"/>
          <w:color w:val="000000" w:themeColor="text1"/>
          <w:lang w:val="en-AU"/>
        </w:rPr>
      </w:pPr>
      <w:r w:rsidRPr="00B1096E">
        <w:rPr>
          <w:rFonts w:ascii="Times New Roman" w:hAnsi="Times New Roman"/>
          <w:color w:val="000000" w:themeColor="text1"/>
          <w:lang w:val="en-AU"/>
        </w:rPr>
        <w:lastRenderedPageBreak/>
        <w:t>The total comprehensive income attributable to operations Equity holders of the Bank is $M 9,380 and Non-controlling interests is $M 19.</w:t>
      </w:r>
    </w:p>
    <w:p w:rsidR="007232D7" w:rsidRPr="00B1096E" w:rsidRDefault="007232D7" w:rsidP="00B1096E">
      <w:pPr>
        <w:pStyle w:val="a5"/>
        <w:widowControl/>
        <w:spacing w:beforeAutospacing="0" w:afterAutospacing="0" w:line="480" w:lineRule="auto"/>
        <w:ind w:left="357"/>
        <w:jc w:val="both"/>
        <w:rPr>
          <w:rFonts w:ascii="Times New Roman" w:hAnsi="Times New Roman"/>
          <w:color w:val="000000" w:themeColor="text1"/>
        </w:rPr>
      </w:pPr>
      <w:r w:rsidRPr="00B1096E">
        <w:rPr>
          <w:rFonts w:ascii="Times New Roman" w:hAnsi="Times New Roman"/>
          <w:color w:val="000000" w:themeColor="text1"/>
        </w:rPr>
        <w:t xml:space="preserve"> In the Note 6.2, the closing balance of goodwill is $M</w:t>
      </w:r>
      <w:r w:rsidRPr="00B1096E">
        <w:rPr>
          <w:rFonts w:ascii="Times New Roman" w:hAnsi="Times New Roman"/>
          <w:bCs/>
          <w:color w:val="000000" w:themeColor="text1"/>
          <w:kern w:val="2"/>
        </w:rPr>
        <w:t xml:space="preserve"> </w:t>
      </w:r>
      <w:r w:rsidRPr="00B1096E">
        <w:rPr>
          <w:rFonts w:ascii="Times New Roman" w:hAnsi="Times New Roman"/>
          <w:bCs/>
          <w:color w:val="000000" w:themeColor="text1"/>
        </w:rPr>
        <w:t>6,941. The goodwill allocation to cash generating units are as followed:</w:t>
      </w:r>
    </w:p>
    <w:p w:rsidR="007232D7" w:rsidRPr="00B1096E" w:rsidRDefault="007232D7" w:rsidP="00B1096E">
      <w:pPr>
        <w:pStyle w:val="a5"/>
        <w:widowControl/>
        <w:spacing w:beforeAutospacing="0" w:afterAutospacing="0" w:line="480" w:lineRule="auto"/>
        <w:ind w:left="480"/>
        <w:jc w:val="both"/>
        <w:rPr>
          <w:rFonts w:ascii="Times New Roman" w:hAnsi="Times New Roman"/>
          <w:color w:val="000000" w:themeColor="text1"/>
        </w:rPr>
      </w:pPr>
      <w:r w:rsidRPr="00B1096E">
        <w:rPr>
          <w:rFonts w:ascii="Times New Roman" w:hAnsi="Times New Roman"/>
          <w:noProof/>
          <w:color w:val="000000" w:themeColor="text1"/>
        </w:rPr>
        <w:drawing>
          <wp:inline distT="0" distB="0" distL="0" distR="0" wp14:anchorId="3C171053" wp14:editId="5BDA18B7">
            <wp:extent cx="5036234" cy="1406525"/>
            <wp:effectExtent l="0" t="0" r="571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1045" cy="1407869"/>
                    </a:xfrm>
                    <a:prstGeom prst="rect">
                      <a:avLst/>
                    </a:prstGeom>
                  </pic:spPr>
                </pic:pic>
              </a:graphicData>
            </a:graphic>
          </wp:inline>
        </w:drawing>
      </w:r>
    </w:p>
    <w:p w:rsidR="007232D7" w:rsidRPr="00B1096E" w:rsidRDefault="007232D7" w:rsidP="00B1096E">
      <w:pPr>
        <w:pStyle w:val="a5"/>
        <w:widowControl/>
        <w:numPr>
          <w:ilvl w:val="0"/>
          <w:numId w:val="5"/>
        </w:numPr>
        <w:spacing w:line="480" w:lineRule="auto"/>
        <w:rPr>
          <w:rFonts w:ascii="Times New Roman" w:hAnsi="Times New Roman"/>
          <w:color w:val="000000" w:themeColor="text1"/>
        </w:rPr>
      </w:pPr>
      <w:r w:rsidRPr="00B1096E">
        <w:rPr>
          <w:rFonts w:ascii="Times New Roman" w:hAnsi="Times New Roman"/>
          <w:noProof/>
          <w:color w:val="000000" w:themeColor="text1"/>
        </w:rPr>
        <w:t>The Group has conducted a number of internal transactions with related parties, including loans, deposits and foreign currency transactions, which may incur fees and commissions, as well as fees paid or charged by subsidiaries in the form of dividends or interest. The following table shows the group’s total investment and loans to controlled entities.</w:t>
      </w:r>
      <w:r w:rsidRPr="00B1096E">
        <w:rPr>
          <w:rFonts w:ascii="Times New Roman" w:hAnsi="Times New Roman"/>
          <w:noProof/>
          <w:color w:val="000000" w:themeColor="text1"/>
        </w:rPr>
        <w:drawing>
          <wp:inline distT="0" distB="0" distL="0" distR="0" wp14:anchorId="58F31925" wp14:editId="0118732B">
            <wp:extent cx="4974848" cy="115824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8085" cy="1161322"/>
                    </a:xfrm>
                    <a:prstGeom prst="rect">
                      <a:avLst/>
                    </a:prstGeom>
                  </pic:spPr>
                </pic:pic>
              </a:graphicData>
            </a:graphic>
          </wp:inline>
        </w:drawing>
      </w:r>
    </w:p>
    <w:p w:rsidR="007232D7" w:rsidRPr="00B1096E" w:rsidRDefault="007232D7" w:rsidP="00B1096E">
      <w:pPr>
        <w:pStyle w:val="a5"/>
        <w:widowControl/>
        <w:spacing w:beforeAutospacing="0" w:afterAutospacing="0" w:line="480" w:lineRule="auto"/>
        <w:ind w:left="360"/>
        <w:jc w:val="both"/>
        <w:rPr>
          <w:rFonts w:ascii="Times New Roman" w:hAnsi="Times New Roman"/>
          <w:color w:val="000000" w:themeColor="text1"/>
        </w:rPr>
      </w:pPr>
      <w:r w:rsidRPr="00B1096E">
        <w:rPr>
          <w:rFonts w:ascii="Times New Roman" w:hAnsi="Times New Roman"/>
          <w:color w:val="000000" w:themeColor="text1"/>
        </w:rPr>
        <w:t>The Group had also fairly charged $118 million from funds classified as affiliates. CBA provides comfort letters to other entities within the group on standard terms. The guarantee includes a $175 million guarantee for the overcompensation claim of the AFS license holder.</w:t>
      </w:r>
    </w:p>
    <w:p w:rsidR="007232D7" w:rsidRPr="00B1096E" w:rsidRDefault="007232D7" w:rsidP="00B1096E">
      <w:pPr>
        <w:pStyle w:val="a5"/>
        <w:widowControl/>
        <w:numPr>
          <w:ilvl w:val="0"/>
          <w:numId w:val="5"/>
        </w:numPr>
        <w:spacing w:line="480" w:lineRule="auto"/>
        <w:jc w:val="both"/>
        <w:rPr>
          <w:rFonts w:ascii="Times New Roman" w:hAnsi="Times New Roman"/>
          <w:color w:val="000000" w:themeColor="text1"/>
        </w:rPr>
      </w:pPr>
      <w:r w:rsidRPr="00B1096E">
        <w:rPr>
          <w:rFonts w:ascii="Times New Roman" w:hAnsi="Times New Roman"/>
          <w:color w:val="000000" w:themeColor="text1"/>
        </w:rPr>
        <w:lastRenderedPageBreak/>
        <w:t>T</w:t>
      </w:r>
      <w:r w:rsidRPr="00B1096E">
        <w:rPr>
          <w:rFonts w:ascii="Times New Roman" w:hAnsi="Times New Roman"/>
          <w:color w:val="000000" w:themeColor="text1"/>
          <w:lang w:val="en-AU"/>
        </w:rPr>
        <w:t>he requirements of paragraphs 54 (q) and 54 (r) of AASB 101, and paragraph 22 of AASB 10 are about how to disclose non-controlling interests in the Consolidated Financial Statements</w:t>
      </w:r>
      <w:r w:rsidRPr="00B1096E">
        <w:rPr>
          <w:rFonts w:ascii="Times New Roman" w:hAnsi="Times New Roman"/>
          <w:bCs/>
          <w:color w:val="000000" w:themeColor="text1"/>
          <w:lang w:val="en-AU"/>
        </w:rPr>
        <w:t>.</w:t>
      </w:r>
      <w:r w:rsidRPr="00B1096E">
        <w:rPr>
          <w:rFonts w:ascii="Times New Roman" w:hAnsi="Times New Roman"/>
        </w:rPr>
        <w:t xml:space="preserve"> </w:t>
      </w:r>
      <w:r w:rsidRPr="00B1096E">
        <w:rPr>
          <w:rFonts w:ascii="Times New Roman" w:hAnsi="Times New Roman"/>
          <w:bCs/>
          <w:color w:val="000000" w:themeColor="text1"/>
          <w:lang w:val="en-AU"/>
        </w:rPr>
        <w:t>The parent company shall report the non-controlling equity in the consolidated financial statements and shall separate it from the equity of the owner of the parent company. From the CBA's full income statement, it can be seen that the disclosure of non-controlling interests is followed, so the CBA meets this requirement.</w:t>
      </w:r>
    </w:p>
    <w:p w:rsidR="007232D7" w:rsidRPr="00B1096E" w:rsidRDefault="007232D7" w:rsidP="00B1096E">
      <w:pPr>
        <w:pStyle w:val="a5"/>
        <w:widowControl/>
        <w:spacing w:beforeAutospacing="0" w:afterAutospacing="0" w:line="480" w:lineRule="auto"/>
        <w:ind w:left="480"/>
        <w:jc w:val="center"/>
        <w:rPr>
          <w:rFonts w:ascii="Times New Roman" w:hAnsi="Times New Roman"/>
          <w:color w:val="000000" w:themeColor="text1"/>
        </w:rPr>
      </w:pPr>
      <w:r w:rsidRPr="00B1096E">
        <w:rPr>
          <w:rFonts w:ascii="Times New Roman" w:hAnsi="Times New Roman"/>
          <w:noProof/>
          <w:color w:val="000000" w:themeColor="text1"/>
        </w:rPr>
        <w:drawing>
          <wp:inline distT="0" distB="0" distL="0" distR="0" wp14:anchorId="2206DA1E" wp14:editId="7BEA6BCA">
            <wp:extent cx="4668948" cy="1394460"/>
            <wp:effectExtent l="0" t="0" r="5080" b="254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2869" cy="1404591"/>
                    </a:xfrm>
                    <a:prstGeom prst="rect">
                      <a:avLst/>
                    </a:prstGeom>
                  </pic:spPr>
                </pic:pic>
              </a:graphicData>
            </a:graphic>
          </wp:inline>
        </w:drawing>
      </w:r>
    </w:p>
    <w:p w:rsidR="007232D7" w:rsidRPr="00B1096E" w:rsidRDefault="007232D7" w:rsidP="00B1096E">
      <w:pPr>
        <w:pStyle w:val="a5"/>
        <w:widowControl/>
        <w:numPr>
          <w:ilvl w:val="0"/>
          <w:numId w:val="5"/>
        </w:numPr>
        <w:spacing w:line="480" w:lineRule="auto"/>
        <w:jc w:val="both"/>
        <w:rPr>
          <w:rFonts w:ascii="Times New Roman" w:hAnsi="Times New Roman"/>
          <w:color w:val="000000" w:themeColor="text1"/>
        </w:rPr>
      </w:pPr>
      <w:r w:rsidRPr="00B1096E">
        <w:rPr>
          <w:rFonts w:ascii="Times New Roman" w:hAnsi="Times New Roman"/>
          <w:color w:val="000000" w:themeColor="text1"/>
        </w:rPr>
        <w:t xml:space="preserve">According to the information disclosed in the Note 11.3, the Group's </w:t>
      </w:r>
      <w:r w:rsidRPr="00B1096E">
        <w:rPr>
          <w:rFonts w:ascii="Times New Roman" w:hAnsi="Times New Roman"/>
          <w:color w:val="000000" w:themeColor="text1"/>
          <w:lang w:val="en-AU"/>
        </w:rPr>
        <w:t>consolidation’ accounting policy complies with the requirements of AASB 10.</w:t>
      </w:r>
      <w:r w:rsidRPr="00B1096E">
        <w:rPr>
          <w:rFonts w:ascii="Times New Roman" w:hAnsi="Times New Roman"/>
          <w:color w:val="000000" w:themeColor="text1"/>
        </w:rPr>
        <w:t xml:space="preserve"> First, the guidelines require that judgments for</w:t>
      </w:r>
      <w:r w:rsidRPr="00B1096E">
        <w:rPr>
          <w:rFonts w:ascii="Times New Roman" w:hAnsi="Times New Roman"/>
          <w:color w:val="000000" w:themeColor="text1"/>
          <w:kern w:val="2"/>
        </w:rPr>
        <w:t xml:space="preserve"> </w:t>
      </w:r>
      <w:r w:rsidRPr="00B1096E">
        <w:rPr>
          <w:rFonts w:ascii="Times New Roman" w:hAnsi="Times New Roman"/>
          <w:color w:val="000000" w:themeColor="text1"/>
        </w:rPr>
        <w:t xml:space="preserve">consolidation is control. The principle that the CBA determines whether a structured entity should be merged is to assess whether it has rights to the investor, enjoys variable returns through participation in the investor's related activities, and has the ability to use rights to influence the income of the invested unit. Transactions between Group and subsidiaries are offset for subjects that should be included in the scope of the merger.  The non-controlling interests and related profit shares of the subsidiary are shown in the consolidated profit statement, the change of equity statement and the balance sheet respectively. A </w:t>
      </w:r>
      <w:r w:rsidRPr="00B1096E">
        <w:rPr>
          <w:rFonts w:ascii="Times New Roman" w:hAnsi="Times New Roman"/>
          <w:color w:val="000000" w:themeColor="text1"/>
        </w:rPr>
        <w:lastRenderedPageBreak/>
        <w:t>subsidiary is incorporated from the date of transfer of control to the group and is not merged upon termination of control.</w:t>
      </w:r>
    </w:p>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 xml:space="preserve">ii     </w:t>
      </w:r>
    </w:p>
    <w:p w:rsidR="007232D7" w:rsidRPr="00B1096E" w:rsidRDefault="007232D7" w:rsidP="00B1096E">
      <w:pPr>
        <w:pStyle w:val="a5"/>
        <w:widowControl/>
        <w:numPr>
          <w:ilvl w:val="0"/>
          <w:numId w:val="4"/>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 xml:space="preserve">The inventory sold by the subsidiary to the parent in April 2015 was sold to </w:t>
      </w:r>
      <w:r w:rsidRPr="00B1096E">
        <w:rPr>
          <w:rFonts w:ascii="Times New Roman" w:hAnsi="Times New Roman"/>
          <w:color w:val="000000" w:themeColor="text1"/>
          <w:lang w:val="en-AU"/>
        </w:rPr>
        <w:t>external entities</w:t>
      </w:r>
      <w:r w:rsidRPr="00B1096E">
        <w:rPr>
          <w:rFonts w:ascii="Times New Roman" w:hAnsi="Times New Roman"/>
          <w:color w:val="000000" w:themeColor="text1"/>
        </w:rPr>
        <w:t xml:space="preserve"> in August 2015 </w:t>
      </w:r>
      <w:r w:rsidRPr="00B1096E">
        <w:rPr>
          <w:rFonts w:ascii="Times New Roman" w:hAnsi="Times New Roman"/>
          <w:b/>
          <w:bCs/>
          <w:color w:val="000000" w:themeColor="text1"/>
        </w:rPr>
        <w:t>(s---p, previous year, inventory---inventory)</w:t>
      </w:r>
      <w:r w:rsidRPr="00B1096E">
        <w:rPr>
          <w:rFonts w:ascii="Times New Roman" w:hAnsi="Times New Roman"/>
          <w:color w:val="000000" w:themeColor="text1"/>
        </w:rPr>
        <w:t>. Therefore, the unrealized profit in 2015 of $600 should be confirmed in the 2016 report. Also retained earnings $420 (600*70%) and income tax expense $180 (600*30%) should be offset. The unrealized profit of the subsidiary should confirm non-controlling interests $105.</w:t>
      </w:r>
    </w:p>
    <w:p w:rsidR="007232D7" w:rsidRPr="00B1096E" w:rsidRDefault="007232D7" w:rsidP="00B1096E">
      <w:pPr>
        <w:pStyle w:val="a7"/>
        <w:widowControl/>
        <w:spacing w:line="480" w:lineRule="auto"/>
        <w:ind w:left="420" w:firstLineChars="0" w:firstLine="0"/>
        <w:jc w:val="left"/>
        <w:rPr>
          <w:rFonts w:ascii="Times New Roman" w:hAnsi="Times New Roman" w:cs="Times New Roman"/>
          <w:kern w:val="0"/>
          <w:sz w:val="24"/>
        </w:rPr>
      </w:pPr>
      <w:r w:rsidRPr="00B1096E">
        <w:rPr>
          <w:rFonts w:ascii="Times New Roman" w:hAnsi="Times New Roman" w:cs="Times New Roman"/>
          <w:kern w:val="0"/>
          <w:sz w:val="24"/>
        </w:rPr>
        <w:t>DR    Retained Earnings             $420</w:t>
      </w:r>
    </w:p>
    <w:p w:rsidR="007232D7" w:rsidRPr="00B1096E" w:rsidRDefault="007232D7" w:rsidP="00B1096E">
      <w:pPr>
        <w:pStyle w:val="a7"/>
        <w:widowControl/>
        <w:spacing w:line="480" w:lineRule="auto"/>
        <w:ind w:left="420" w:firstLineChars="0" w:firstLine="0"/>
        <w:jc w:val="left"/>
        <w:rPr>
          <w:rFonts w:ascii="Times New Roman" w:hAnsi="Times New Roman" w:cs="Times New Roman"/>
          <w:kern w:val="0"/>
          <w:sz w:val="24"/>
        </w:rPr>
      </w:pPr>
      <w:r w:rsidRPr="00B1096E">
        <w:rPr>
          <w:rFonts w:ascii="Times New Roman" w:hAnsi="Times New Roman" w:cs="Times New Roman"/>
          <w:kern w:val="0"/>
          <w:sz w:val="24"/>
        </w:rPr>
        <w:t>DR    Income  Tax Expense         $180</w:t>
      </w:r>
    </w:p>
    <w:p w:rsidR="007232D7" w:rsidRPr="00B1096E" w:rsidRDefault="007232D7" w:rsidP="00B1096E">
      <w:pPr>
        <w:widowControl/>
        <w:spacing w:line="480" w:lineRule="auto"/>
        <w:ind w:firstLineChars="200" w:firstLine="480"/>
        <w:jc w:val="left"/>
        <w:rPr>
          <w:rFonts w:ascii="Times New Roman" w:hAnsi="Times New Roman" w:cs="Times New Roman"/>
          <w:kern w:val="0"/>
          <w:sz w:val="24"/>
        </w:rPr>
      </w:pPr>
      <w:r w:rsidRPr="00B1096E">
        <w:rPr>
          <w:rFonts w:ascii="Times New Roman" w:hAnsi="Times New Roman" w:cs="Times New Roman"/>
          <w:kern w:val="0"/>
          <w:sz w:val="24"/>
        </w:rPr>
        <w:t>CR    COS                               $600</w:t>
      </w:r>
    </w:p>
    <w:p w:rsidR="007232D7" w:rsidRPr="00B1096E" w:rsidRDefault="007232D7" w:rsidP="00B1096E">
      <w:pPr>
        <w:pStyle w:val="a7"/>
        <w:widowControl/>
        <w:spacing w:line="480" w:lineRule="auto"/>
        <w:ind w:left="420" w:firstLineChars="0" w:firstLine="0"/>
        <w:jc w:val="left"/>
        <w:rPr>
          <w:rFonts w:ascii="Times New Roman" w:hAnsi="Times New Roman" w:cs="Times New Roman"/>
          <w:kern w:val="0"/>
          <w:sz w:val="24"/>
        </w:rPr>
      </w:pPr>
      <w:r w:rsidRPr="00B1096E">
        <w:rPr>
          <w:rFonts w:ascii="Times New Roman" w:hAnsi="Times New Roman" w:cs="Times New Roman"/>
          <w:kern w:val="0"/>
          <w:sz w:val="24"/>
        </w:rPr>
        <w:t>DR    NCI                        $105</w:t>
      </w:r>
    </w:p>
    <w:p w:rsidR="007232D7" w:rsidRPr="00B1096E" w:rsidRDefault="007232D7" w:rsidP="00B1096E">
      <w:pPr>
        <w:widowControl/>
        <w:spacing w:line="480" w:lineRule="auto"/>
        <w:ind w:firstLineChars="200" w:firstLine="480"/>
        <w:jc w:val="left"/>
        <w:rPr>
          <w:rFonts w:ascii="Times New Roman" w:hAnsi="Times New Roman" w:cs="Times New Roman"/>
          <w:sz w:val="24"/>
        </w:rPr>
      </w:pPr>
      <w:r w:rsidRPr="00B1096E">
        <w:rPr>
          <w:rFonts w:ascii="Times New Roman" w:hAnsi="Times New Roman" w:cs="Times New Roman"/>
          <w:kern w:val="0"/>
          <w:sz w:val="24"/>
        </w:rPr>
        <w:t>CR    NCI share of profit                    $105</w:t>
      </w:r>
    </w:p>
    <w:p w:rsidR="007232D7" w:rsidRPr="00B1096E" w:rsidRDefault="007232D7" w:rsidP="00B1096E">
      <w:pPr>
        <w:pStyle w:val="a5"/>
        <w:widowControl/>
        <w:spacing w:beforeAutospacing="0" w:afterAutospacing="0" w:line="480" w:lineRule="auto"/>
        <w:ind w:left="480"/>
        <w:jc w:val="both"/>
        <w:rPr>
          <w:rFonts w:ascii="Times New Roman" w:hAnsi="Times New Roman"/>
          <w:color w:val="000000" w:themeColor="text1"/>
        </w:rPr>
      </w:pPr>
    </w:p>
    <w:p w:rsidR="007232D7" w:rsidRPr="00B1096E" w:rsidRDefault="007232D7" w:rsidP="00B1096E">
      <w:pPr>
        <w:pStyle w:val="a5"/>
        <w:widowControl/>
        <w:numPr>
          <w:ilvl w:val="0"/>
          <w:numId w:val="4"/>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 xml:space="preserve">In March 2016, the parent sold the product to the subsidiary with a pre-tax profit of $1,000. As of June 30, 2016, 25% of the inventory was not sold to external entities. </w:t>
      </w:r>
      <w:r w:rsidRPr="00B1096E">
        <w:rPr>
          <w:rFonts w:ascii="Times New Roman" w:hAnsi="Times New Roman"/>
          <w:b/>
          <w:bCs/>
          <w:color w:val="000000" w:themeColor="text1"/>
        </w:rPr>
        <w:t xml:space="preserve">(P---S, current year, inventory---inventory). </w:t>
      </w:r>
      <w:r w:rsidRPr="00B1096E">
        <w:rPr>
          <w:rFonts w:ascii="Times New Roman" w:hAnsi="Times New Roman"/>
          <w:color w:val="000000" w:themeColor="text1"/>
        </w:rPr>
        <w:t>Therefore, sales revenue of 1,000, inventory of 250 (1,000*25%), COGS of $9,750 (1,000-250) should be reduced in 2016. Deferred income tax assets of $75 (250*30%) and deferred income tax of $75 should be recognized. The unrealized profit of the products sold by the parent to the subsidiaries does not influence non-controlling interests.</w:t>
      </w:r>
    </w:p>
    <w:p w:rsidR="007232D7" w:rsidRPr="00B1096E" w:rsidRDefault="007232D7" w:rsidP="00B1096E">
      <w:pPr>
        <w:pStyle w:val="a5"/>
        <w:widowControl/>
        <w:spacing w:beforeAutospacing="0" w:afterAutospacing="0" w:line="480" w:lineRule="auto"/>
        <w:ind w:left="480"/>
        <w:jc w:val="both"/>
        <w:rPr>
          <w:rFonts w:ascii="Times New Roman" w:hAnsi="Times New Roman"/>
          <w:color w:val="000000" w:themeColor="text1"/>
        </w:rPr>
      </w:pPr>
    </w:p>
    <w:p w:rsidR="007232D7" w:rsidRPr="00B1096E" w:rsidRDefault="007232D7" w:rsidP="00B1096E">
      <w:pPr>
        <w:spacing w:line="480" w:lineRule="auto"/>
        <w:ind w:left="840"/>
        <w:rPr>
          <w:rFonts w:ascii="Times New Roman" w:eastAsia="Times New Roman" w:hAnsi="Times New Roman" w:cs="Times New Roman"/>
          <w:sz w:val="24"/>
        </w:rPr>
      </w:pPr>
      <w:r w:rsidRPr="00B1096E">
        <w:rPr>
          <w:rFonts w:ascii="Times New Roman" w:hAnsi="Times New Roman" w:cs="Times New Roman"/>
          <w:sz w:val="24"/>
        </w:rPr>
        <w:t xml:space="preserve">DR      Sales               </w:t>
      </w:r>
      <w:r w:rsidRPr="00B1096E">
        <w:rPr>
          <w:rFonts w:ascii="Times New Roman" w:hAnsi="Times New Roman" w:cs="Times New Roman"/>
          <w:sz w:val="24"/>
        </w:rPr>
        <w:tab/>
      </w:r>
      <w:r w:rsidRPr="00B1096E">
        <w:rPr>
          <w:rFonts w:ascii="Times New Roman" w:hAnsi="Times New Roman" w:cs="Times New Roman"/>
          <w:sz w:val="24"/>
        </w:rPr>
        <w:tab/>
      </w:r>
      <w:r w:rsidRPr="00B1096E">
        <w:rPr>
          <w:rFonts w:ascii="Times New Roman" w:hAnsi="Times New Roman" w:cs="Times New Roman"/>
          <w:sz w:val="24"/>
        </w:rPr>
        <w:tab/>
        <w:t>$10,000</w:t>
      </w:r>
    </w:p>
    <w:p w:rsidR="007232D7" w:rsidRPr="00B1096E" w:rsidRDefault="007232D7" w:rsidP="00B1096E">
      <w:pPr>
        <w:spacing w:line="480" w:lineRule="auto"/>
        <w:ind w:firstLineChars="350" w:firstLine="840"/>
        <w:rPr>
          <w:rFonts w:ascii="Times New Roman" w:eastAsia="Times New Roman" w:hAnsi="Times New Roman" w:cs="Times New Roman"/>
          <w:sz w:val="24"/>
        </w:rPr>
      </w:pPr>
      <w:r w:rsidRPr="00B1096E">
        <w:rPr>
          <w:rFonts w:ascii="Times New Roman" w:hAnsi="Times New Roman" w:cs="Times New Roman"/>
          <w:sz w:val="24"/>
        </w:rPr>
        <w:t>CR      COGS                                $9,750</w:t>
      </w:r>
    </w:p>
    <w:p w:rsidR="007232D7" w:rsidRPr="00B1096E" w:rsidRDefault="007232D7" w:rsidP="00B1096E">
      <w:pPr>
        <w:spacing w:line="480" w:lineRule="auto"/>
        <w:ind w:firstLineChars="350" w:firstLine="840"/>
        <w:rPr>
          <w:rFonts w:ascii="Times New Roman" w:eastAsia="Times New Roman" w:hAnsi="Times New Roman" w:cs="Times New Roman"/>
          <w:sz w:val="24"/>
        </w:rPr>
      </w:pPr>
      <w:r w:rsidRPr="00B1096E">
        <w:rPr>
          <w:rFonts w:ascii="Times New Roman" w:hAnsi="Times New Roman" w:cs="Times New Roman"/>
          <w:sz w:val="24"/>
        </w:rPr>
        <w:t xml:space="preserve">CR      Inventory </w:t>
      </w:r>
      <w:r w:rsidRPr="00B1096E">
        <w:rPr>
          <w:rFonts w:ascii="Times New Roman" w:hAnsi="Times New Roman" w:cs="Times New Roman"/>
          <w:sz w:val="24"/>
        </w:rPr>
        <w:tab/>
      </w:r>
      <w:r w:rsidRPr="00B1096E">
        <w:rPr>
          <w:rFonts w:ascii="Times New Roman" w:hAnsi="Times New Roman" w:cs="Times New Roman"/>
          <w:sz w:val="24"/>
        </w:rPr>
        <w:tab/>
      </w:r>
      <w:r w:rsidRPr="00B1096E">
        <w:rPr>
          <w:rFonts w:ascii="Times New Roman" w:hAnsi="Times New Roman" w:cs="Times New Roman"/>
          <w:sz w:val="24"/>
        </w:rPr>
        <w:tab/>
      </w:r>
      <w:r w:rsidRPr="00B1096E">
        <w:rPr>
          <w:rFonts w:ascii="Times New Roman" w:hAnsi="Times New Roman" w:cs="Times New Roman"/>
          <w:sz w:val="24"/>
        </w:rPr>
        <w:tab/>
      </w:r>
      <w:r w:rsidRPr="00B1096E">
        <w:rPr>
          <w:rFonts w:ascii="Times New Roman" w:hAnsi="Times New Roman" w:cs="Times New Roman"/>
          <w:sz w:val="24"/>
        </w:rPr>
        <w:tab/>
      </w:r>
      <w:r w:rsidRPr="00B1096E">
        <w:rPr>
          <w:rFonts w:ascii="Times New Roman" w:hAnsi="Times New Roman" w:cs="Times New Roman"/>
          <w:sz w:val="24"/>
        </w:rPr>
        <w:tab/>
        <w:t xml:space="preserve">           $250</w:t>
      </w:r>
    </w:p>
    <w:p w:rsidR="007232D7" w:rsidRPr="00B1096E" w:rsidRDefault="007232D7" w:rsidP="00B1096E">
      <w:pPr>
        <w:spacing w:line="480" w:lineRule="auto"/>
        <w:ind w:left="840"/>
        <w:rPr>
          <w:rFonts w:ascii="Times New Roman" w:hAnsi="Times New Roman" w:cs="Times New Roman"/>
          <w:sz w:val="24"/>
        </w:rPr>
      </w:pPr>
    </w:p>
    <w:p w:rsidR="007232D7" w:rsidRPr="00B1096E" w:rsidRDefault="007232D7" w:rsidP="00B1096E">
      <w:pPr>
        <w:spacing w:line="480" w:lineRule="auto"/>
        <w:ind w:left="840"/>
        <w:rPr>
          <w:rFonts w:ascii="Times New Roman" w:eastAsia="Times New Roman" w:hAnsi="Times New Roman" w:cs="Times New Roman"/>
          <w:sz w:val="24"/>
        </w:rPr>
      </w:pPr>
      <w:r w:rsidRPr="00B1096E">
        <w:rPr>
          <w:rFonts w:ascii="Times New Roman" w:hAnsi="Times New Roman" w:cs="Times New Roman"/>
          <w:sz w:val="24"/>
        </w:rPr>
        <w:t xml:space="preserve">DR    DTA             </w:t>
      </w:r>
      <w:r w:rsidRPr="00B1096E">
        <w:rPr>
          <w:rFonts w:ascii="Times New Roman" w:hAnsi="Times New Roman" w:cs="Times New Roman"/>
          <w:sz w:val="24"/>
        </w:rPr>
        <w:tab/>
        <w:t xml:space="preserve">             </w:t>
      </w:r>
      <w:r w:rsidRPr="00B1096E">
        <w:rPr>
          <w:rFonts w:ascii="Times New Roman" w:hAnsi="Times New Roman" w:cs="Times New Roman"/>
          <w:sz w:val="24"/>
        </w:rPr>
        <w:tab/>
        <w:t>$75</w:t>
      </w:r>
    </w:p>
    <w:p w:rsidR="007232D7" w:rsidRPr="00B1096E" w:rsidRDefault="007232D7" w:rsidP="00B1096E">
      <w:pPr>
        <w:spacing w:line="480" w:lineRule="auto"/>
        <w:ind w:firstLineChars="350" w:firstLine="840"/>
        <w:rPr>
          <w:rFonts w:ascii="Times New Roman" w:hAnsi="Times New Roman" w:cs="Times New Roman"/>
          <w:sz w:val="24"/>
        </w:rPr>
      </w:pPr>
      <w:r w:rsidRPr="00B1096E">
        <w:rPr>
          <w:rFonts w:ascii="Times New Roman" w:hAnsi="Times New Roman" w:cs="Times New Roman"/>
          <w:sz w:val="24"/>
        </w:rPr>
        <w:t>CR        ITE</w:t>
      </w:r>
      <w:r w:rsidRPr="00B1096E">
        <w:rPr>
          <w:rFonts w:ascii="Times New Roman" w:hAnsi="Times New Roman" w:cs="Times New Roman"/>
          <w:sz w:val="24"/>
        </w:rPr>
        <w:tab/>
        <w:t xml:space="preserve">           </w:t>
      </w:r>
      <w:r w:rsidRPr="00B1096E">
        <w:rPr>
          <w:rFonts w:ascii="Times New Roman" w:hAnsi="Times New Roman" w:cs="Times New Roman"/>
          <w:sz w:val="24"/>
        </w:rPr>
        <w:tab/>
        <w:t xml:space="preserve">                   $75</w:t>
      </w:r>
    </w:p>
    <w:p w:rsidR="007232D7" w:rsidRPr="00B1096E" w:rsidRDefault="007232D7" w:rsidP="00B1096E">
      <w:pPr>
        <w:spacing w:line="480" w:lineRule="auto"/>
        <w:ind w:left="840" w:firstLine="240"/>
        <w:rPr>
          <w:rFonts w:ascii="Times New Roman" w:eastAsia="Times New Roman" w:hAnsi="Times New Roman" w:cs="Times New Roman"/>
          <w:sz w:val="24"/>
        </w:rPr>
      </w:pPr>
    </w:p>
    <w:p w:rsidR="007232D7" w:rsidRPr="00B1096E" w:rsidRDefault="007232D7" w:rsidP="00B1096E">
      <w:pPr>
        <w:pStyle w:val="a5"/>
        <w:widowControl/>
        <w:numPr>
          <w:ilvl w:val="0"/>
          <w:numId w:val="4"/>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color w:val="000000" w:themeColor="text1"/>
        </w:rPr>
        <w:t xml:space="preserve"> </w:t>
      </w:r>
      <w:r w:rsidRPr="00B1096E">
        <w:rPr>
          <w:rFonts w:ascii="Times New Roman" w:hAnsi="Times New Roman"/>
          <w:b/>
          <w:bCs/>
          <w:color w:val="000000" w:themeColor="text1"/>
        </w:rPr>
        <w:t>(current year, s---p, inventory—inventory)</w:t>
      </w:r>
      <w:r w:rsidRPr="00B1096E">
        <w:rPr>
          <w:rFonts w:ascii="Times New Roman" w:hAnsi="Times New Roman"/>
          <w:color w:val="000000" w:themeColor="text1"/>
        </w:rPr>
        <w:t xml:space="preserve"> The subsidiary sell the product to the parent at a mark-up of 20% with a profit of $4,000 ($24000 / (1+ 20%) * 20%), the unsold portion is 1,200, and the unrealized profit is $200 (4,000*) 1,200 / 24,000). Also DTA $60 (200*30%) and ITE$60 should be confirmed.</w:t>
      </w:r>
      <w:r w:rsidRPr="00B1096E">
        <w:rPr>
          <w:rFonts w:ascii="Times New Roman" w:hAnsi="Times New Roman"/>
          <w:color w:val="000000" w:themeColor="text1"/>
          <w:kern w:val="2"/>
        </w:rPr>
        <w:t xml:space="preserve"> </w:t>
      </w:r>
      <w:r w:rsidRPr="00B1096E">
        <w:rPr>
          <w:rFonts w:ascii="Times New Roman" w:hAnsi="Times New Roman"/>
          <w:color w:val="000000" w:themeColor="text1"/>
        </w:rPr>
        <w:t>The non-controlling interests is $50 (200*(1-75%)).</w:t>
      </w:r>
    </w:p>
    <w:tbl>
      <w:tblPr>
        <w:tblW w:w="7739" w:type="dxa"/>
        <w:tblInd w:w="574" w:type="dxa"/>
        <w:tblLayout w:type="fixed"/>
        <w:tblLook w:val="04A0" w:firstRow="1" w:lastRow="0" w:firstColumn="1" w:lastColumn="0" w:noHBand="0" w:noVBand="1"/>
      </w:tblPr>
      <w:tblGrid>
        <w:gridCol w:w="722"/>
        <w:gridCol w:w="3733"/>
        <w:gridCol w:w="1774"/>
        <w:gridCol w:w="1510"/>
      </w:tblGrid>
      <w:tr w:rsidR="007232D7" w:rsidRPr="00B1096E" w:rsidTr="0033227B">
        <w:trPr>
          <w:trHeight w:val="300"/>
        </w:trPr>
        <w:tc>
          <w:tcPr>
            <w:tcW w:w="722"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Dr.</w:t>
            </w:r>
          </w:p>
        </w:tc>
        <w:tc>
          <w:tcPr>
            <w:tcW w:w="3733"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Sales</w:t>
            </w:r>
          </w:p>
        </w:tc>
        <w:tc>
          <w:tcPr>
            <w:tcW w:w="1774"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 xml:space="preserve">$24,000 </w:t>
            </w:r>
          </w:p>
        </w:tc>
        <w:tc>
          <w:tcPr>
            <w:tcW w:w="1510"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p>
        </w:tc>
      </w:tr>
      <w:tr w:rsidR="007232D7" w:rsidRPr="00B1096E" w:rsidTr="0033227B">
        <w:trPr>
          <w:trHeight w:val="315"/>
        </w:trPr>
        <w:tc>
          <w:tcPr>
            <w:tcW w:w="722"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Cr.</w:t>
            </w:r>
          </w:p>
        </w:tc>
        <w:tc>
          <w:tcPr>
            <w:tcW w:w="3733"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COGS</w:t>
            </w:r>
          </w:p>
        </w:tc>
        <w:tc>
          <w:tcPr>
            <w:tcW w:w="1774"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p>
        </w:tc>
        <w:tc>
          <w:tcPr>
            <w:tcW w:w="1510"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 xml:space="preserve">$23,800 </w:t>
            </w:r>
          </w:p>
        </w:tc>
      </w:tr>
      <w:tr w:rsidR="007232D7" w:rsidRPr="00B1096E" w:rsidTr="0033227B">
        <w:trPr>
          <w:trHeight w:val="315"/>
        </w:trPr>
        <w:tc>
          <w:tcPr>
            <w:tcW w:w="722"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Cr.</w:t>
            </w:r>
          </w:p>
        </w:tc>
        <w:tc>
          <w:tcPr>
            <w:tcW w:w="3733"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Inventory</w:t>
            </w:r>
          </w:p>
        </w:tc>
        <w:tc>
          <w:tcPr>
            <w:tcW w:w="1774"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p>
        </w:tc>
        <w:tc>
          <w:tcPr>
            <w:tcW w:w="1510"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 xml:space="preserve">$200 </w:t>
            </w:r>
          </w:p>
        </w:tc>
      </w:tr>
      <w:tr w:rsidR="007232D7" w:rsidRPr="00B1096E" w:rsidTr="0033227B">
        <w:trPr>
          <w:trHeight w:val="300"/>
        </w:trPr>
        <w:tc>
          <w:tcPr>
            <w:tcW w:w="722"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Dr.</w:t>
            </w:r>
          </w:p>
        </w:tc>
        <w:tc>
          <w:tcPr>
            <w:tcW w:w="3733"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DTA</w:t>
            </w:r>
          </w:p>
        </w:tc>
        <w:tc>
          <w:tcPr>
            <w:tcW w:w="1774"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$60</w:t>
            </w:r>
          </w:p>
        </w:tc>
        <w:tc>
          <w:tcPr>
            <w:tcW w:w="1510"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p>
        </w:tc>
      </w:tr>
      <w:tr w:rsidR="007232D7" w:rsidRPr="00B1096E" w:rsidTr="0033227B">
        <w:trPr>
          <w:trHeight w:val="300"/>
        </w:trPr>
        <w:tc>
          <w:tcPr>
            <w:tcW w:w="722"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Cr.</w:t>
            </w:r>
          </w:p>
        </w:tc>
        <w:tc>
          <w:tcPr>
            <w:tcW w:w="3733"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ITE</w:t>
            </w:r>
          </w:p>
        </w:tc>
        <w:tc>
          <w:tcPr>
            <w:tcW w:w="1774"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p>
        </w:tc>
        <w:tc>
          <w:tcPr>
            <w:tcW w:w="1510" w:type="dxa"/>
            <w:tcBorders>
              <w:top w:val="nil"/>
              <w:left w:val="nil"/>
              <w:bottom w:val="nil"/>
              <w:right w:val="nil"/>
            </w:tcBorders>
            <w:shd w:val="clear" w:color="auto" w:fill="auto"/>
            <w:noWrap/>
            <w:vAlign w:val="center"/>
          </w:tcPr>
          <w:p w:rsidR="007232D7" w:rsidRPr="00B1096E" w:rsidRDefault="007232D7" w:rsidP="00B1096E">
            <w:pPr>
              <w:pStyle w:val="a5"/>
              <w:widowControl/>
              <w:spacing w:beforeAutospacing="0" w:afterAutospacing="0" w:line="480" w:lineRule="auto"/>
              <w:jc w:val="both"/>
              <w:rPr>
                <w:rFonts w:ascii="Times New Roman" w:hAnsi="Times New Roman"/>
                <w:color w:val="000000" w:themeColor="text1"/>
              </w:rPr>
            </w:pPr>
            <w:r w:rsidRPr="00B1096E">
              <w:rPr>
                <w:rFonts w:ascii="Times New Roman" w:hAnsi="Times New Roman"/>
                <w:color w:val="000000" w:themeColor="text1"/>
              </w:rPr>
              <w:t>$60</w:t>
            </w:r>
          </w:p>
        </w:tc>
      </w:tr>
    </w:tbl>
    <w:p w:rsidR="007232D7" w:rsidRPr="00B1096E" w:rsidRDefault="007232D7" w:rsidP="00B1096E">
      <w:pPr>
        <w:pStyle w:val="a5"/>
        <w:widowControl/>
        <w:numPr>
          <w:ilvl w:val="0"/>
          <w:numId w:val="4"/>
        </w:numPr>
        <w:spacing w:beforeAutospacing="0" w:afterAutospacing="0" w:line="480" w:lineRule="auto"/>
        <w:ind w:left="480" w:hangingChars="200" w:hanging="480"/>
        <w:jc w:val="both"/>
        <w:rPr>
          <w:rFonts w:ascii="Times New Roman" w:hAnsi="Times New Roman"/>
          <w:color w:val="000000" w:themeColor="text1"/>
        </w:rPr>
      </w:pPr>
      <w:r w:rsidRPr="00B1096E">
        <w:rPr>
          <w:rFonts w:ascii="Times New Roman" w:hAnsi="Times New Roman"/>
          <w:b/>
          <w:bCs/>
          <w:color w:val="000000" w:themeColor="text1"/>
        </w:rPr>
        <w:t xml:space="preserve"> (s---p, previous year, PPE---PPE) </w:t>
      </w:r>
      <w:r w:rsidRPr="00B1096E">
        <w:rPr>
          <w:rFonts w:ascii="Times New Roman" w:hAnsi="Times New Roman"/>
          <w:color w:val="000000" w:themeColor="text1"/>
        </w:rPr>
        <w:t xml:space="preserve">The profit of the equipment sold by the subsidiary to the parent in 2014 is $15,000 (100,000-85,000). The parent recognizes a fixed asset, and in 2016 a DTA of $4,500 (15,000*70%) and a </w:t>
      </w:r>
      <w:r w:rsidRPr="00B1096E">
        <w:rPr>
          <w:rFonts w:ascii="Times New Roman" w:hAnsi="Times New Roman"/>
          <w:color w:val="000000" w:themeColor="text1"/>
        </w:rPr>
        <w:lastRenderedPageBreak/>
        <w:t>retained earnings of $10,500 ($15,000*70%) should be adjusted.</w:t>
      </w:r>
      <w:r w:rsidRPr="00B1096E">
        <w:rPr>
          <w:rFonts w:ascii="Times New Roman" w:hAnsi="Times New Roman"/>
          <w:color w:val="000000" w:themeColor="text1"/>
          <w:kern w:val="2"/>
        </w:rPr>
        <w:t xml:space="preserve"> </w:t>
      </w:r>
      <w:r w:rsidRPr="00B1096E">
        <w:rPr>
          <w:rFonts w:ascii="Times New Roman" w:hAnsi="Times New Roman"/>
          <w:color w:val="000000" w:themeColor="text1"/>
        </w:rPr>
        <w:t>The non-controlling interest is $2,625.</w:t>
      </w:r>
    </w:p>
    <w:p w:rsidR="007232D7" w:rsidRPr="00B1096E" w:rsidRDefault="007232D7" w:rsidP="00B1096E">
      <w:pPr>
        <w:pStyle w:val="a7"/>
        <w:spacing w:line="480" w:lineRule="auto"/>
        <w:ind w:left="420" w:firstLineChars="50" w:firstLine="120"/>
        <w:jc w:val="left"/>
        <w:rPr>
          <w:rFonts w:ascii="Times New Roman" w:eastAsia="Times New Roman" w:hAnsi="Times New Roman" w:cs="Times New Roman"/>
          <w:sz w:val="24"/>
        </w:rPr>
      </w:pPr>
      <w:r w:rsidRPr="00B1096E">
        <w:rPr>
          <w:rFonts w:ascii="Times New Roman" w:hAnsi="Times New Roman" w:cs="Times New Roman"/>
          <w:sz w:val="24"/>
        </w:rPr>
        <w:t>DR    Retained earnings                 $10,500</w:t>
      </w:r>
    </w:p>
    <w:p w:rsidR="007232D7" w:rsidRPr="00B1096E" w:rsidRDefault="007232D7" w:rsidP="00B1096E">
      <w:pPr>
        <w:spacing w:line="480" w:lineRule="auto"/>
        <w:ind w:firstLineChars="250" w:firstLine="600"/>
        <w:jc w:val="left"/>
        <w:rPr>
          <w:rFonts w:ascii="Times New Roman" w:hAnsi="Times New Roman" w:cs="Times New Roman"/>
          <w:sz w:val="24"/>
        </w:rPr>
      </w:pPr>
      <w:r w:rsidRPr="00B1096E">
        <w:rPr>
          <w:rFonts w:ascii="Times New Roman" w:hAnsi="Times New Roman" w:cs="Times New Roman"/>
          <w:sz w:val="24"/>
        </w:rPr>
        <w:t>DR   DTA                            $4,500</w:t>
      </w:r>
    </w:p>
    <w:p w:rsidR="007232D7" w:rsidRPr="00B1096E" w:rsidRDefault="007232D7" w:rsidP="00B1096E">
      <w:pPr>
        <w:pStyle w:val="a7"/>
        <w:spacing w:line="480" w:lineRule="auto"/>
        <w:ind w:left="420" w:firstLineChars="50" w:firstLine="120"/>
        <w:jc w:val="left"/>
        <w:rPr>
          <w:rFonts w:ascii="Times New Roman" w:hAnsi="Times New Roman" w:cs="Times New Roman"/>
          <w:sz w:val="24"/>
        </w:rPr>
      </w:pPr>
      <w:r w:rsidRPr="00B1096E">
        <w:rPr>
          <w:rFonts w:ascii="Times New Roman" w:hAnsi="Times New Roman" w:cs="Times New Roman"/>
          <w:sz w:val="24"/>
        </w:rPr>
        <w:t>CR    Equipment                                $15,000</w:t>
      </w:r>
    </w:p>
    <w:p w:rsidR="007232D7" w:rsidRPr="00B1096E" w:rsidRDefault="007232D7" w:rsidP="00B1096E">
      <w:pPr>
        <w:pStyle w:val="a7"/>
        <w:spacing w:line="480" w:lineRule="auto"/>
        <w:ind w:left="420" w:firstLineChars="50" w:firstLine="120"/>
        <w:jc w:val="left"/>
        <w:rPr>
          <w:rFonts w:ascii="Times New Roman" w:hAnsi="Times New Roman" w:cs="Times New Roman"/>
          <w:sz w:val="24"/>
        </w:rPr>
      </w:pPr>
    </w:p>
    <w:p w:rsidR="007232D7" w:rsidRPr="00B1096E" w:rsidRDefault="007232D7" w:rsidP="00B1096E">
      <w:pPr>
        <w:spacing w:line="480" w:lineRule="auto"/>
        <w:ind w:firstLineChars="250" w:firstLine="600"/>
        <w:jc w:val="left"/>
        <w:rPr>
          <w:rFonts w:ascii="Times New Roman" w:hAnsi="Times New Roman" w:cs="Times New Roman"/>
          <w:sz w:val="24"/>
        </w:rPr>
      </w:pPr>
      <w:r w:rsidRPr="00B1096E">
        <w:rPr>
          <w:rFonts w:ascii="Times New Roman" w:hAnsi="Times New Roman" w:cs="Times New Roman"/>
          <w:sz w:val="24"/>
        </w:rPr>
        <w:t>DR NCI                           $2,625</w:t>
      </w:r>
    </w:p>
    <w:p w:rsidR="007232D7" w:rsidRPr="00B1096E" w:rsidRDefault="007232D7" w:rsidP="00B1096E">
      <w:pPr>
        <w:pStyle w:val="a7"/>
        <w:spacing w:line="480" w:lineRule="auto"/>
        <w:ind w:left="420" w:firstLineChars="50" w:firstLine="120"/>
        <w:jc w:val="left"/>
        <w:rPr>
          <w:rFonts w:ascii="Times New Roman" w:hAnsi="Times New Roman" w:cs="Times New Roman"/>
          <w:sz w:val="24"/>
        </w:rPr>
      </w:pPr>
      <w:r w:rsidRPr="00B1096E">
        <w:rPr>
          <w:rFonts w:ascii="Times New Roman" w:hAnsi="Times New Roman" w:cs="Times New Roman"/>
          <w:sz w:val="24"/>
        </w:rPr>
        <w:t>CR NCI share of profit                        $2,625</w:t>
      </w:r>
    </w:p>
    <w:p w:rsidR="007232D7" w:rsidRPr="00B1096E" w:rsidRDefault="007232D7" w:rsidP="00B1096E">
      <w:pPr>
        <w:pStyle w:val="a7"/>
        <w:spacing w:line="480" w:lineRule="auto"/>
        <w:ind w:left="420" w:firstLineChars="50" w:firstLine="120"/>
        <w:jc w:val="left"/>
        <w:rPr>
          <w:rFonts w:ascii="Times New Roman" w:eastAsia="Times New Roman" w:hAnsi="Times New Roman" w:cs="Times New Roman"/>
          <w:sz w:val="24"/>
        </w:rPr>
      </w:pPr>
      <w:r w:rsidRPr="00B1096E">
        <w:rPr>
          <w:rFonts w:ascii="Times New Roman" w:hAnsi="Times New Roman" w:cs="Times New Roman"/>
          <w:sz w:val="24"/>
        </w:rPr>
        <w:t>DR DTA.                          $4,500</w:t>
      </w:r>
    </w:p>
    <w:p w:rsidR="007232D7" w:rsidRPr="00B1096E" w:rsidRDefault="007232D7" w:rsidP="00B1096E">
      <w:pPr>
        <w:pStyle w:val="a7"/>
        <w:spacing w:line="480" w:lineRule="auto"/>
        <w:ind w:left="420" w:firstLineChars="50" w:firstLine="120"/>
        <w:jc w:val="left"/>
        <w:rPr>
          <w:rFonts w:ascii="Times New Roman" w:hAnsi="Times New Roman" w:cs="Times New Roman"/>
          <w:sz w:val="24"/>
        </w:rPr>
      </w:pPr>
      <w:r w:rsidRPr="00B1096E">
        <w:rPr>
          <w:rFonts w:ascii="Times New Roman" w:hAnsi="Times New Roman" w:cs="Times New Roman"/>
          <w:sz w:val="24"/>
        </w:rPr>
        <w:t>CR Retained earnings                         $4,500</w:t>
      </w:r>
    </w:p>
    <w:p w:rsidR="007232D7" w:rsidRPr="00B1096E" w:rsidRDefault="007232D7" w:rsidP="00B1096E">
      <w:pPr>
        <w:spacing w:line="480" w:lineRule="auto"/>
        <w:jc w:val="left"/>
        <w:rPr>
          <w:rFonts w:ascii="Times New Roman" w:hAnsi="Times New Roman" w:cs="Times New Roman"/>
          <w:sz w:val="24"/>
        </w:rPr>
      </w:pPr>
    </w:p>
    <w:p w:rsidR="007232D7" w:rsidRPr="00B1096E" w:rsidRDefault="007232D7" w:rsidP="00B1096E">
      <w:pPr>
        <w:pStyle w:val="a7"/>
        <w:numPr>
          <w:ilvl w:val="0"/>
          <w:numId w:val="4"/>
        </w:numPr>
        <w:pBdr>
          <w:top w:val="nil"/>
          <w:left w:val="nil"/>
          <w:bottom w:val="nil"/>
          <w:right w:val="nil"/>
          <w:between w:val="nil"/>
          <w:bar w:val="nil"/>
        </w:pBdr>
        <w:spacing w:line="480" w:lineRule="auto"/>
        <w:ind w:firstLineChars="0"/>
        <w:contextualSpacing/>
        <w:rPr>
          <w:rFonts w:ascii="Times New Roman" w:eastAsia="Times New Roman" w:hAnsi="Times New Roman" w:cs="Times New Roman"/>
          <w:sz w:val="24"/>
        </w:rPr>
      </w:pPr>
      <w:r w:rsidRPr="00B1096E">
        <w:rPr>
          <w:rFonts w:ascii="Times New Roman" w:hAnsi="Times New Roman" w:cs="Times New Roman"/>
          <w:sz w:val="24"/>
        </w:rPr>
        <w:t xml:space="preserve">The depreciation of the equipment sold by S to P should be eliminated. </w:t>
      </w:r>
    </w:p>
    <w:p w:rsidR="007232D7" w:rsidRPr="00B1096E" w:rsidRDefault="007232D7" w:rsidP="00B1096E">
      <w:pPr>
        <w:pStyle w:val="a7"/>
        <w:spacing w:line="480" w:lineRule="auto"/>
        <w:ind w:left="420" w:firstLineChars="0" w:firstLine="0"/>
        <w:rPr>
          <w:rFonts w:ascii="Times New Roman" w:eastAsia="Times New Roman" w:hAnsi="Times New Roman" w:cs="Times New Roman"/>
          <w:sz w:val="24"/>
        </w:rPr>
      </w:pPr>
      <w:r w:rsidRPr="00B1096E">
        <w:rPr>
          <w:rFonts w:ascii="Times New Roman" w:hAnsi="Times New Roman" w:cs="Times New Roman"/>
          <w:sz w:val="24"/>
        </w:rPr>
        <w:t>DR  Accumulated depreciation               $3000</w:t>
      </w:r>
    </w:p>
    <w:p w:rsidR="007232D7" w:rsidRPr="00B1096E" w:rsidRDefault="007232D7" w:rsidP="00B1096E">
      <w:pPr>
        <w:pStyle w:val="a7"/>
        <w:spacing w:line="480" w:lineRule="auto"/>
        <w:ind w:left="420" w:firstLineChars="0" w:firstLine="0"/>
        <w:rPr>
          <w:rFonts w:ascii="Times New Roman" w:eastAsia="Times New Roman" w:hAnsi="Times New Roman" w:cs="Times New Roman"/>
          <w:sz w:val="24"/>
        </w:rPr>
      </w:pPr>
      <w:r w:rsidRPr="00B1096E">
        <w:rPr>
          <w:rFonts w:ascii="Times New Roman" w:hAnsi="Times New Roman" w:cs="Times New Roman"/>
          <w:sz w:val="24"/>
        </w:rPr>
        <w:t>CR  Depreciation  Expense                       $1,500</w:t>
      </w:r>
    </w:p>
    <w:p w:rsidR="007232D7" w:rsidRDefault="007232D7" w:rsidP="00B1096E">
      <w:pPr>
        <w:pStyle w:val="a7"/>
        <w:spacing w:line="480" w:lineRule="auto"/>
        <w:ind w:left="420" w:firstLineChars="0" w:firstLine="0"/>
        <w:rPr>
          <w:rFonts w:ascii="Times New Roman" w:hAnsi="Times New Roman" w:cs="Times New Roman"/>
          <w:sz w:val="24"/>
        </w:rPr>
      </w:pPr>
      <w:r w:rsidRPr="00B1096E">
        <w:rPr>
          <w:rFonts w:ascii="Times New Roman" w:hAnsi="Times New Roman" w:cs="Times New Roman"/>
          <w:sz w:val="24"/>
        </w:rPr>
        <w:t>CR  Retained earnings                            $1,500</w:t>
      </w:r>
    </w:p>
    <w:p w:rsidR="00B1096E" w:rsidRPr="00B1096E" w:rsidRDefault="00B1096E" w:rsidP="00B1096E">
      <w:pPr>
        <w:pStyle w:val="a7"/>
        <w:spacing w:line="480" w:lineRule="auto"/>
        <w:ind w:left="420" w:firstLineChars="0" w:firstLine="0"/>
        <w:rPr>
          <w:rFonts w:ascii="Times New Roman" w:eastAsia="Times New Roman" w:hAnsi="Times New Roman" w:cs="Times New Roman"/>
          <w:sz w:val="24"/>
        </w:rPr>
      </w:pPr>
    </w:p>
    <w:p w:rsidR="007232D7" w:rsidRPr="00B1096E" w:rsidRDefault="007232D7" w:rsidP="00B1096E">
      <w:pPr>
        <w:pStyle w:val="a7"/>
        <w:spacing w:line="480" w:lineRule="auto"/>
        <w:ind w:left="420" w:firstLineChars="0" w:firstLine="0"/>
        <w:rPr>
          <w:rFonts w:ascii="Times New Roman" w:eastAsia="Times New Roman" w:hAnsi="Times New Roman" w:cs="Times New Roman"/>
          <w:sz w:val="24"/>
        </w:rPr>
      </w:pPr>
      <w:r w:rsidRPr="00B1096E">
        <w:rPr>
          <w:rFonts w:ascii="Times New Roman" w:hAnsi="Times New Roman" w:cs="Times New Roman"/>
          <w:sz w:val="24"/>
        </w:rPr>
        <w:t>DR  Retained earnings                     $450</w:t>
      </w:r>
    </w:p>
    <w:p w:rsidR="00B1096E" w:rsidRPr="00B1096E" w:rsidRDefault="007232D7" w:rsidP="00B1096E">
      <w:pPr>
        <w:pStyle w:val="a7"/>
        <w:spacing w:line="480" w:lineRule="auto"/>
        <w:ind w:left="420" w:firstLineChars="0" w:firstLine="0"/>
        <w:rPr>
          <w:rFonts w:ascii="Times New Roman" w:hAnsi="Times New Roman" w:cs="Times New Roman" w:hint="eastAsia"/>
          <w:sz w:val="24"/>
        </w:rPr>
      </w:pPr>
      <w:r w:rsidRPr="00B1096E">
        <w:rPr>
          <w:rFonts w:ascii="Times New Roman" w:hAnsi="Times New Roman" w:cs="Times New Roman"/>
          <w:sz w:val="24"/>
        </w:rPr>
        <w:t>DR  ITE                                $450</w:t>
      </w:r>
    </w:p>
    <w:p w:rsidR="007232D7" w:rsidRPr="00B1096E" w:rsidRDefault="007232D7" w:rsidP="00B1096E">
      <w:pPr>
        <w:pStyle w:val="a7"/>
        <w:spacing w:line="480" w:lineRule="auto"/>
        <w:ind w:left="420" w:firstLineChars="0" w:firstLine="0"/>
        <w:rPr>
          <w:rFonts w:ascii="Times New Roman" w:hAnsi="Times New Roman" w:cs="Times New Roman"/>
          <w:sz w:val="24"/>
        </w:rPr>
      </w:pPr>
      <w:r w:rsidRPr="00B1096E">
        <w:rPr>
          <w:rFonts w:ascii="Times New Roman" w:hAnsi="Times New Roman" w:cs="Times New Roman"/>
          <w:sz w:val="24"/>
        </w:rPr>
        <w:t>CR  DTA                                      $900</w:t>
      </w:r>
    </w:p>
    <w:p w:rsidR="00B1096E" w:rsidRDefault="00B1096E" w:rsidP="00B1096E">
      <w:pPr>
        <w:pStyle w:val="a7"/>
        <w:spacing w:line="480" w:lineRule="auto"/>
        <w:ind w:left="420" w:firstLineChars="0" w:firstLine="0"/>
        <w:rPr>
          <w:rFonts w:ascii="Times New Roman" w:eastAsia="Times New Roman" w:hAnsi="Times New Roman" w:cs="Times New Roman"/>
          <w:sz w:val="24"/>
        </w:rPr>
      </w:pPr>
    </w:p>
    <w:p w:rsidR="007232D7" w:rsidRPr="00B1096E" w:rsidRDefault="007232D7" w:rsidP="00B1096E">
      <w:pPr>
        <w:pStyle w:val="a7"/>
        <w:spacing w:line="480" w:lineRule="auto"/>
        <w:ind w:left="420" w:firstLineChars="0" w:firstLine="0"/>
        <w:rPr>
          <w:rFonts w:ascii="Times New Roman" w:eastAsia="Times New Roman" w:hAnsi="Times New Roman" w:cs="Times New Roman"/>
          <w:sz w:val="24"/>
        </w:rPr>
      </w:pPr>
      <w:r w:rsidRPr="00B1096E">
        <w:rPr>
          <w:rFonts w:ascii="Times New Roman" w:eastAsia="Times New Roman" w:hAnsi="Times New Roman" w:cs="Times New Roman"/>
          <w:sz w:val="24"/>
        </w:rPr>
        <w:t>DR  NCI share of profit                         $525</w:t>
      </w:r>
    </w:p>
    <w:p w:rsidR="007232D7" w:rsidRPr="00B1096E" w:rsidRDefault="007232D7" w:rsidP="00B1096E">
      <w:pPr>
        <w:pStyle w:val="a7"/>
        <w:spacing w:line="480" w:lineRule="auto"/>
        <w:ind w:left="420" w:firstLineChars="0" w:firstLine="0"/>
        <w:rPr>
          <w:rFonts w:ascii="Times New Roman" w:eastAsia="Times New Roman" w:hAnsi="Times New Roman" w:cs="Times New Roman" w:hint="eastAsia"/>
          <w:sz w:val="24"/>
        </w:rPr>
      </w:pPr>
      <w:r w:rsidRPr="00B1096E">
        <w:rPr>
          <w:rFonts w:ascii="Times New Roman" w:eastAsia="Times New Roman" w:hAnsi="Times New Roman" w:cs="Times New Roman"/>
          <w:sz w:val="24"/>
        </w:rPr>
        <w:t>CR  NCI                                                $525</w:t>
      </w:r>
    </w:p>
    <w:p w:rsidR="007232D7" w:rsidRPr="00B1096E" w:rsidRDefault="007232D7" w:rsidP="00B1096E">
      <w:pPr>
        <w:pStyle w:val="a5"/>
        <w:spacing w:line="480" w:lineRule="auto"/>
        <w:jc w:val="right"/>
        <w:rPr>
          <w:rFonts w:ascii="Times New Roman" w:hAnsi="Times New Roman"/>
          <w:color w:val="000000" w:themeColor="text1"/>
        </w:rPr>
      </w:pPr>
      <w:r w:rsidRPr="00B1096E">
        <w:rPr>
          <w:rFonts w:ascii="Times New Roman" w:hAnsi="Times New Roman"/>
          <w:color w:val="000000" w:themeColor="text1"/>
        </w:rPr>
        <w:lastRenderedPageBreak/>
        <w:t>Word: 880</w:t>
      </w:r>
    </w:p>
    <w:p w:rsidR="007232D7" w:rsidRPr="00B1096E" w:rsidRDefault="007232D7" w:rsidP="00B1096E">
      <w:pPr>
        <w:pStyle w:val="a5"/>
        <w:spacing w:line="480" w:lineRule="auto"/>
        <w:rPr>
          <w:rFonts w:ascii="Times New Roman" w:hAnsi="Times New Roman"/>
          <w:b/>
          <w:color w:val="000000" w:themeColor="text1"/>
        </w:rPr>
      </w:pPr>
      <w:r w:rsidRPr="00B1096E">
        <w:rPr>
          <w:rFonts w:ascii="Times New Roman" w:hAnsi="Times New Roman"/>
          <w:b/>
          <w:color w:val="000000" w:themeColor="text1"/>
        </w:rPr>
        <w:t xml:space="preserve">References list </w:t>
      </w:r>
    </w:p>
    <w:p w:rsidR="007232D7" w:rsidRPr="00B1096E" w:rsidRDefault="007232D7" w:rsidP="00B1096E">
      <w:pPr>
        <w:pStyle w:val="a5"/>
        <w:spacing w:before="100" w:after="100" w:line="480" w:lineRule="auto"/>
        <w:ind w:left="480" w:hangingChars="200" w:hanging="480"/>
        <w:rPr>
          <w:rStyle w:val="a6"/>
          <w:rFonts w:ascii="Times New Roman" w:hAnsi="Times New Roman"/>
        </w:rPr>
      </w:pPr>
      <w:r w:rsidRPr="00B1096E">
        <w:rPr>
          <w:rFonts w:ascii="Times New Roman" w:hAnsi="Times New Roman"/>
          <w:color w:val="000000" w:themeColor="text1"/>
        </w:rPr>
        <w:t xml:space="preserve">AASB 10 Consolidated Financial Statements, August 2011. Retrieve from: </w:t>
      </w:r>
      <w:r w:rsidRPr="00B1096E">
        <w:rPr>
          <w:rStyle w:val="a6"/>
          <w:rFonts w:ascii="Times New Roman" w:eastAsia="宋体" w:hAnsi="Times New Roman"/>
          <w:color w:val="000000" w:themeColor="text1"/>
        </w:rPr>
        <w:t xml:space="preserve"> </w:t>
      </w:r>
      <w:r w:rsidRPr="00B1096E">
        <w:rPr>
          <w:rStyle w:val="a6"/>
          <w:rFonts w:ascii="Times New Roman" w:hAnsi="Times New Roman"/>
        </w:rPr>
        <w:t>https://www.aasb.gov.au/admin/file/content105/c9/AASB10_08-11.pdf</w:t>
      </w:r>
    </w:p>
    <w:p w:rsidR="007232D7" w:rsidRPr="00B1096E" w:rsidRDefault="007232D7" w:rsidP="00B1096E">
      <w:pPr>
        <w:pStyle w:val="a5"/>
        <w:spacing w:beforeAutospacing="0" w:afterAutospacing="0" w:line="480" w:lineRule="auto"/>
        <w:ind w:left="480" w:hangingChars="200" w:hanging="480"/>
        <w:rPr>
          <w:rFonts w:ascii="Times New Roman" w:hAnsi="Times New Roman"/>
        </w:rPr>
      </w:pPr>
      <w:r w:rsidRPr="00B1096E">
        <w:rPr>
          <w:rFonts w:ascii="Times New Roman" w:hAnsi="Times New Roman"/>
          <w:color w:val="000000" w:themeColor="text1"/>
        </w:rPr>
        <w:t xml:space="preserve">AASB 16 Leases, February 2016. Retrieve from: </w:t>
      </w:r>
      <w:hyperlink r:id="rId11" w:history="1">
        <w:r w:rsidRPr="00B1096E">
          <w:rPr>
            <w:rStyle w:val="a6"/>
            <w:rFonts w:ascii="Times New Roman" w:hAnsi="Times New Roman"/>
          </w:rPr>
          <w:t>https://leaseaccounting.com/aasb-16/</w:t>
        </w:r>
      </w:hyperlink>
    </w:p>
    <w:p w:rsidR="007232D7" w:rsidRPr="00B1096E" w:rsidRDefault="007232D7" w:rsidP="00B1096E">
      <w:pPr>
        <w:pStyle w:val="a5"/>
        <w:spacing w:beforeAutospacing="0" w:afterAutospacing="0" w:line="480" w:lineRule="auto"/>
        <w:ind w:left="480" w:hangingChars="200" w:hanging="480"/>
        <w:rPr>
          <w:rFonts w:ascii="Times New Roman" w:hAnsi="Times New Roman"/>
          <w:color w:val="000000" w:themeColor="text1"/>
        </w:rPr>
      </w:pPr>
      <w:r w:rsidRPr="00B1096E">
        <w:rPr>
          <w:rFonts w:ascii="Times New Roman" w:hAnsi="Times New Roman"/>
          <w:color w:val="000000" w:themeColor="text1"/>
        </w:rPr>
        <w:t xml:space="preserve">AASB 101 Presentation of Financial Statements, July 2015. Retrieve from: </w:t>
      </w:r>
      <w:hyperlink r:id="rId12" w:history="1">
        <w:r w:rsidRPr="00B1096E">
          <w:rPr>
            <w:rStyle w:val="a6"/>
            <w:rFonts w:ascii="Times New Roman" w:hAnsi="Times New Roman"/>
          </w:rPr>
          <w:t>https://www.aasb.gov.au/admin/file/content105/c9/AASB101_07-15.pdf</w:t>
        </w:r>
      </w:hyperlink>
    </w:p>
    <w:p w:rsidR="007232D7" w:rsidRPr="00B1096E" w:rsidRDefault="00DE7DBC" w:rsidP="00B1096E">
      <w:pPr>
        <w:pStyle w:val="a5"/>
        <w:spacing w:beforeAutospacing="0" w:afterAutospacing="0" w:line="480" w:lineRule="auto"/>
        <w:ind w:left="480" w:hangingChars="200" w:hanging="480"/>
        <w:rPr>
          <w:rFonts w:ascii="Times New Roman" w:hAnsi="Times New Roman"/>
          <w:color w:val="000000" w:themeColor="text1"/>
        </w:rPr>
      </w:pPr>
      <w:hyperlink r:id="rId13" w:history="1">
        <w:r w:rsidR="007232D7" w:rsidRPr="00B1096E">
          <w:rPr>
            <w:rFonts w:ascii="Times New Roman" w:hAnsi="Times New Roman"/>
            <w:color w:val="000000" w:themeColor="text1"/>
          </w:rPr>
          <w:t>AASB 117 Leases - August 2015</w:t>
        </w:r>
      </w:hyperlink>
      <w:r w:rsidR="007232D7" w:rsidRPr="00B1096E">
        <w:rPr>
          <w:rFonts w:ascii="Times New Roman" w:hAnsi="Times New Roman"/>
          <w:color w:val="000000" w:themeColor="text1"/>
        </w:rPr>
        <w:t xml:space="preserve">. Retrieve from: </w:t>
      </w:r>
      <w:hyperlink r:id="rId14" w:history="1">
        <w:r w:rsidR="007232D7" w:rsidRPr="00B1096E">
          <w:rPr>
            <w:rStyle w:val="a6"/>
            <w:rFonts w:ascii="Times New Roman" w:hAnsi="Times New Roman"/>
          </w:rPr>
          <w:t>https://www.legislation.gov.au/Details/F2015L01562/Explanatory%20Statement/Text</w:t>
        </w:r>
      </w:hyperlink>
    </w:p>
    <w:p w:rsidR="007232D7" w:rsidRPr="00B1096E" w:rsidRDefault="007232D7" w:rsidP="00B1096E">
      <w:pPr>
        <w:pStyle w:val="a5"/>
        <w:spacing w:beforeAutospacing="0" w:afterAutospacing="0" w:line="480" w:lineRule="auto"/>
        <w:ind w:left="480" w:hangingChars="200" w:hanging="480"/>
        <w:rPr>
          <w:rFonts w:ascii="Times New Roman" w:hAnsi="Times New Roman"/>
          <w:color w:val="000000" w:themeColor="text1"/>
        </w:rPr>
      </w:pPr>
      <w:r w:rsidRPr="00B1096E">
        <w:rPr>
          <w:rFonts w:ascii="Times New Roman" w:hAnsi="Times New Roman"/>
          <w:color w:val="000000" w:themeColor="text1"/>
        </w:rPr>
        <w:t xml:space="preserve">CBA annual report 2018, retrieve from: </w:t>
      </w:r>
      <w:hyperlink r:id="rId15" w:history="1">
        <w:r w:rsidRPr="00B1096E">
          <w:rPr>
            <w:rStyle w:val="a6"/>
            <w:rFonts w:ascii="Times New Roman" w:hAnsi="Times New Roman"/>
          </w:rPr>
          <w:t>http://www.cba.com.br/RelatorioAnual2018/en/</w:t>
        </w:r>
      </w:hyperlink>
    </w:p>
    <w:p w:rsidR="007232D7" w:rsidRPr="00B1096E" w:rsidRDefault="007232D7" w:rsidP="00B1096E">
      <w:pPr>
        <w:pStyle w:val="a5"/>
        <w:spacing w:beforeAutospacing="0" w:afterAutospacing="0" w:line="480" w:lineRule="auto"/>
        <w:ind w:left="480" w:hangingChars="200" w:hanging="480"/>
        <w:rPr>
          <w:rFonts w:ascii="Times New Roman" w:hAnsi="Times New Roman"/>
          <w:color w:val="000000" w:themeColor="text1"/>
        </w:rPr>
      </w:pPr>
      <w:r w:rsidRPr="00B1096E">
        <w:rPr>
          <w:rFonts w:ascii="Times New Roman" w:hAnsi="Times New Roman"/>
          <w:color w:val="000000" w:themeColor="text1"/>
        </w:rPr>
        <w:t xml:space="preserve">Miles, J. A., </w:t>
      </w:r>
      <w:proofErr w:type="spellStart"/>
      <w:r w:rsidRPr="00B1096E">
        <w:rPr>
          <w:rFonts w:ascii="Times New Roman" w:hAnsi="Times New Roman"/>
          <w:color w:val="000000" w:themeColor="text1"/>
        </w:rPr>
        <w:t>Ezzell</w:t>
      </w:r>
      <w:proofErr w:type="spellEnd"/>
      <w:r w:rsidRPr="00B1096E">
        <w:rPr>
          <w:rFonts w:ascii="Times New Roman" w:hAnsi="Times New Roman"/>
          <w:color w:val="000000" w:themeColor="text1"/>
        </w:rPr>
        <w:t>, J. R., &amp; Vora, P. P. (2018). Revisiting the standard lease valuation model: new results. Journal of Economics &amp; Finance,42(2), 409-420.</w:t>
      </w:r>
    </w:p>
    <w:p w:rsidR="007232D7" w:rsidRPr="00B1096E" w:rsidRDefault="007232D7" w:rsidP="00B1096E">
      <w:pPr>
        <w:pStyle w:val="a5"/>
        <w:spacing w:beforeAutospacing="0" w:afterAutospacing="0" w:line="480" w:lineRule="auto"/>
        <w:ind w:left="480" w:hangingChars="200" w:hanging="480"/>
        <w:rPr>
          <w:rFonts w:ascii="Times New Roman" w:hAnsi="Times New Roman" w:hint="eastAsia"/>
          <w:color w:val="000000" w:themeColor="text1"/>
        </w:rPr>
      </w:pPr>
      <w:r w:rsidRPr="00B1096E">
        <w:rPr>
          <w:rFonts w:ascii="Times New Roman" w:hAnsi="Times New Roman"/>
          <w:color w:val="000000" w:themeColor="text1"/>
        </w:rPr>
        <w:t>Warren, C. M. (2016). The impact of International Accounting Standards Board (IASB)/International Financial Reporting Standard 16 (IFRS 16). </w:t>
      </w:r>
      <w:r w:rsidRPr="00B1096E">
        <w:rPr>
          <w:rFonts w:ascii="Times New Roman" w:hAnsi="Times New Roman"/>
          <w:i/>
          <w:iCs/>
          <w:color w:val="000000" w:themeColor="text1"/>
        </w:rPr>
        <w:t>Property Management</w:t>
      </w:r>
      <w:r w:rsidRPr="00B1096E">
        <w:rPr>
          <w:rFonts w:ascii="Times New Roman" w:hAnsi="Times New Roman"/>
          <w:color w:val="000000" w:themeColor="text1"/>
        </w:rPr>
        <w:t>, 34(3).</w:t>
      </w:r>
    </w:p>
    <w:p w:rsidR="00B1096E" w:rsidRDefault="007232D7" w:rsidP="00B1096E">
      <w:pPr>
        <w:pStyle w:val="a5"/>
        <w:widowControl/>
        <w:spacing w:beforeAutospacing="0" w:afterAutospacing="0" w:line="480" w:lineRule="auto"/>
        <w:rPr>
          <w:rFonts w:ascii="Times New Roman" w:hAnsi="Times New Roman"/>
          <w:color w:val="000000" w:themeColor="text1"/>
        </w:rPr>
      </w:pPr>
      <w:r w:rsidRPr="00B1096E">
        <w:rPr>
          <w:rFonts w:ascii="Times New Roman" w:hAnsi="Times New Roman"/>
          <w:color w:val="000000" w:themeColor="text1"/>
        </w:rPr>
        <w:t xml:space="preserve">                                </w:t>
      </w:r>
    </w:p>
    <w:p w:rsidR="00B1096E" w:rsidRDefault="00B1096E" w:rsidP="00B1096E">
      <w:pPr>
        <w:pStyle w:val="a5"/>
        <w:widowControl/>
        <w:spacing w:beforeAutospacing="0" w:afterAutospacing="0" w:line="480" w:lineRule="auto"/>
        <w:rPr>
          <w:rFonts w:ascii="Times New Roman" w:hAnsi="Times New Roman"/>
          <w:color w:val="000000" w:themeColor="text1"/>
        </w:rPr>
      </w:pPr>
    </w:p>
    <w:p w:rsidR="00B1096E" w:rsidRDefault="00B1096E" w:rsidP="00B1096E">
      <w:pPr>
        <w:pStyle w:val="a5"/>
        <w:widowControl/>
        <w:spacing w:beforeAutospacing="0" w:afterAutospacing="0" w:line="480" w:lineRule="auto"/>
        <w:rPr>
          <w:rFonts w:ascii="Times New Roman" w:hAnsi="Times New Roman"/>
          <w:color w:val="000000" w:themeColor="text1"/>
        </w:rPr>
      </w:pPr>
    </w:p>
    <w:p w:rsidR="00B1096E" w:rsidRDefault="00B1096E" w:rsidP="00B1096E">
      <w:pPr>
        <w:pStyle w:val="a5"/>
        <w:widowControl/>
        <w:spacing w:beforeAutospacing="0" w:afterAutospacing="0" w:line="480" w:lineRule="auto"/>
        <w:ind w:firstLineChars="1600" w:firstLine="3840"/>
        <w:rPr>
          <w:rFonts w:ascii="Times New Roman" w:hAnsi="Times New Roman"/>
          <w:color w:val="000000" w:themeColor="text1"/>
        </w:rPr>
      </w:pPr>
    </w:p>
    <w:p w:rsidR="00B1096E" w:rsidRDefault="00B1096E" w:rsidP="00B1096E">
      <w:pPr>
        <w:pStyle w:val="a5"/>
        <w:widowControl/>
        <w:spacing w:beforeAutospacing="0" w:afterAutospacing="0" w:line="480" w:lineRule="auto"/>
        <w:ind w:firstLineChars="1600" w:firstLine="3840"/>
        <w:rPr>
          <w:rFonts w:ascii="Times New Roman" w:hAnsi="Times New Roman"/>
          <w:color w:val="000000" w:themeColor="text1"/>
        </w:rPr>
      </w:pPr>
    </w:p>
    <w:p w:rsidR="007232D7" w:rsidRPr="00B1096E" w:rsidRDefault="007232D7" w:rsidP="00B1096E">
      <w:pPr>
        <w:pStyle w:val="a5"/>
        <w:widowControl/>
        <w:spacing w:beforeAutospacing="0" w:afterAutospacing="0" w:line="480" w:lineRule="auto"/>
        <w:ind w:firstLineChars="1600" w:firstLine="3840"/>
        <w:rPr>
          <w:rFonts w:ascii="Times New Roman" w:hAnsi="Times New Roman" w:hint="eastAsia"/>
          <w:b/>
          <w:bCs/>
          <w:color w:val="000000" w:themeColor="text1"/>
        </w:rPr>
      </w:pPr>
      <w:bookmarkStart w:id="0" w:name="_GoBack"/>
      <w:bookmarkEnd w:id="0"/>
      <w:r w:rsidRPr="00B1096E">
        <w:rPr>
          <w:rFonts w:ascii="Times New Roman" w:hAnsi="Times New Roman"/>
          <w:color w:val="000000" w:themeColor="text1"/>
        </w:rPr>
        <w:t xml:space="preserve">                </w:t>
      </w:r>
      <w:r w:rsidRPr="00B1096E">
        <w:rPr>
          <w:rFonts w:ascii="Times New Roman" w:hAnsi="Times New Roman"/>
          <w:b/>
          <w:bCs/>
          <w:color w:val="000000" w:themeColor="text1"/>
        </w:rPr>
        <w:t xml:space="preserve">Group 22  </w:t>
      </w:r>
    </w:p>
    <w:p w:rsidR="007232D7" w:rsidRPr="00B1096E" w:rsidRDefault="007232D7" w:rsidP="00B1096E">
      <w:pPr>
        <w:pStyle w:val="a3"/>
        <w:spacing w:line="480" w:lineRule="auto"/>
        <w:ind w:firstLineChars="2400" w:firstLine="5760"/>
        <w:rPr>
          <w:rFonts w:ascii="Times New Roman" w:hAnsi="Times New Roman" w:cs="Times New Roman" w:hint="eastAsia"/>
          <w:b/>
          <w:bCs/>
          <w:sz w:val="24"/>
          <w:szCs w:val="24"/>
        </w:rPr>
      </w:pPr>
      <w:r w:rsidRPr="00B1096E">
        <w:rPr>
          <w:rFonts w:ascii="Times New Roman" w:hAnsi="Times New Roman" w:cs="Times New Roman"/>
          <w:b/>
          <w:bCs/>
          <w:sz w:val="24"/>
          <w:szCs w:val="24"/>
        </w:rPr>
        <w:t xml:space="preserve">Duo Yang    s5149817 </w:t>
      </w:r>
    </w:p>
    <w:p w:rsidR="007232D7" w:rsidRPr="00B1096E" w:rsidRDefault="007232D7" w:rsidP="00B1096E">
      <w:pPr>
        <w:pStyle w:val="a3"/>
        <w:spacing w:line="480" w:lineRule="auto"/>
        <w:ind w:firstLineChars="2400" w:firstLine="5760"/>
        <w:rPr>
          <w:rFonts w:ascii="Times New Roman" w:eastAsia="宋体" w:hAnsi="Times New Roman" w:cs="Times New Roman" w:hint="eastAsia"/>
          <w:b/>
          <w:bCs/>
          <w:color w:val="000000"/>
          <w:kern w:val="0"/>
          <w:sz w:val="24"/>
          <w:szCs w:val="24"/>
        </w:rPr>
      </w:pPr>
      <w:proofErr w:type="spellStart"/>
      <w:r w:rsidRPr="00B1096E">
        <w:rPr>
          <w:rFonts w:ascii="Times New Roman" w:hAnsi="Times New Roman" w:cs="Times New Roman"/>
          <w:b/>
          <w:bCs/>
          <w:sz w:val="24"/>
          <w:szCs w:val="24"/>
        </w:rPr>
        <w:t>Yuyu</w:t>
      </w:r>
      <w:proofErr w:type="spellEnd"/>
      <w:r w:rsidRPr="00B1096E">
        <w:rPr>
          <w:rFonts w:ascii="Times New Roman" w:hAnsi="Times New Roman" w:cs="Times New Roman"/>
          <w:b/>
          <w:bCs/>
          <w:sz w:val="24"/>
          <w:szCs w:val="24"/>
        </w:rPr>
        <w:t xml:space="preserve"> Sui     </w:t>
      </w:r>
      <w:r w:rsidRPr="00B1096E">
        <w:rPr>
          <w:rFonts w:ascii="Times New Roman" w:eastAsia="宋体" w:hAnsi="Times New Roman" w:cs="Times New Roman"/>
          <w:b/>
          <w:bCs/>
          <w:color w:val="000000"/>
          <w:kern w:val="0"/>
          <w:sz w:val="24"/>
          <w:szCs w:val="24"/>
        </w:rPr>
        <w:t>s5150735</w:t>
      </w:r>
    </w:p>
    <w:p w:rsidR="007232D7" w:rsidRPr="00B1096E" w:rsidRDefault="007232D7" w:rsidP="00B1096E">
      <w:pPr>
        <w:pStyle w:val="a3"/>
        <w:spacing w:line="480" w:lineRule="auto"/>
        <w:ind w:firstLineChars="2400" w:firstLine="5760"/>
        <w:rPr>
          <w:rFonts w:ascii="Times New Roman" w:eastAsia="宋体" w:hAnsi="Times New Roman" w:cs="Times New Roman" w:hint="eastAsia"/>
          <w:b/>
          <w:bCs/>
          <w:color w:val="000000"/>
          <w:kern w:val="0"/>
          <w:sz w:val="24"/>
          <w:szCs w:val="24"/>
        </w:rPr>
      </w:pPr>
      <w:r w:rsidRPr="00B1096E">
        <w:rPr>
          <w:rFonts w:ascii="Times New Roman" w:hAnsi="Times New Roman" w:cs="Times New Roman"/>
          <w:b/>
          <w:bCs/>
          <w:sz w:val="24"/>
          <w:szCs w:val="24"/>
        </w:rPr>
        <w:t xml:space="preserve">Siting Chen   </w:t>
      </w:r>
      <w:r w:rsidRPr="00B1096E">
        <w:rPr>
          <w:rFonts w:ascii="Times New Roman" w:eastAsia="宋体" w:hAnsi="Times New Roman" w:cs="Times New Roman"/>
          <w:b/>
          <w:bCs/>
          <w:color w:val="000000"/>
          <w:kern w:val="0"/>
          <w:sz w:val="24"/>
          <w:szCs w:val="24"/>
        </w:rPr>
        <w:t>s5149796</w:t>
      </w:r>
    </w:p>
    <w:p w:rsidR="00427BAC" w:rsidRPr="00B1096E" w:rsidRDefault="007232D7" w:rsidP="00B1096E">
      <w:pPr>
        <w:pStyle w:val="a3"/>
        <w:spacing w:line="480" w:lineRule="auto"/>
        <w:ind w:firstLineChars="2400" w:firstLine="5760"/>
        <w:rPr>
          <w:rFonts w:ascii="Times New Roman" w:hAnsi="Times New Roman" w:cs="Times New Roman" w:hint="eastAsia"/>
          <w:b/>
          <w:bCs/>
          <w:sz w:val="24"/>
          <w:szCs w:val="24"/>
        </w:rPr>
      </w:pPr>
      <w:proofErr w:type="spellStart"/>
      <w:r w:rsidRPr="00B1096E">
        <w:rPr>
          <w:rFonts w:ascii="Times New Roman" w:hAnsi="Times New Roman" w:cs="Times New Roman"/>
          <w:b/>
          <w:bCs/>
          <w:sz w:val="24"/>
          <w:szCs w:val="24"/>
        </w:rPr>
        <w:t>Shuning</w:t>
      </w:r>
      <w:proofErr w:type="spellEnd"/>
      <w:r w:rsidRPr="00B1096E">
        <w:rPr>
          <w:rFonts w:ascii="Times New Roman" w:hAnsi="Times New Roman" w:cs="Times New Roman"/>
          <w:b/>
          <w:bCs/>
          <w:sz w:val="24"/>
          <w:szCs w:val="24"/>
        </w:rPr>
        <w:t xml:space="preserve"> Liu  s</w:t>
      </w:r>
      <w:r w:rsidRPr="00B1096E">
        <w:rPr>
          <w:rFonts w:ascii="Times New Roman" w:eastAsia="宋体" w:hAnsi="Times New Roman" w:cs="Times New Roman"/>
          <w:b/>
          <w:bCs/>
          <w:color w:val="000000"/>
          <w:kern w:val="0"/>
          <w:sz w:val="24"/>
          <w:szCs w:val="24"/>
        </w:rPr>
        <w:t>5155444</w:t>
      </w:r>
    </w:p>
    <w:sectPr w:rsidR="00427BAC" w:rsidRPr="00B1096E">
      <w:footerReference w:type="even"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DBC" w:rsidRDefault="00DE7DBC">
      <w:r>
        <w:separator/>
      </w:r>
    </w:p>
  </w:endnote>
  <w:endnote w:type="continuationSeparator" w:id="0">
    <w:p w:rsidR="00DE7DBC" w:rsidRDefault="00DE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887650410"/>
      <w:docPartObj>
        <w:docPartGallery w:val="Page Numbers (Bottom of Page)"/>
        <w:docPartUnique/>
      </w:docPartObj>
    </w:sdtPr>
    <w:sdtEndPr>
      <w:rPr>
        <w:rStyle w:val="a8"/>
      </w:rPr>
    </w:sdtEndPr>
    <w:sdtContent>
      <w:p w:rsidR="00692D50" w:rsidRDefault="007232D7" w:rsidP="00A963D5">
        <w:pPr>
          <w:pStyle w:val="a3"/>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rsidR="00692D50" w:rsidRDefault="00DE7DBC" w:rsidP="00692D5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8"/>
      </w:rPr>
      <w:id w:val="700911522"/>
      <w:docPartObj>
        <w:docPartGallery w:val="Page Numbers (Bottom of Page)"/>
        <w:docPartUnique/>
      </w:docPartObj>
    </w:sdtPr>
    <w:sdtEndPr>
      <w:rPr>
        <w:rStyle w:val="a8"/>
      </w:rPr>
    </w:sdtEndPr>
    <w:sdtContent>
      <w:p w:rsidR="00692D50" w:rsidRDefault="007232D7" w:rsidP="00A963D5">
        <w:pPr>
          <w:pStyle w:val="a3"/>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3</w:t>
        </w:r>
        <w:r>
          <w:rPr>
            <w:rStyle w:val="a8"/>
          </w:rPr>
          <w:fldChar w:fldCharType="end"/>
        </w:r>
      </w:p>
    </w:sdtContent>
  </w:sdt>
  <w:p w:rsidR="00692D50" w:rsidRDefault="007232D7" w:rsidP="00692D50">
    <w:pPr>
      <w:pStyle w:val="a3"/>
      <w:ind w:right="360"/>
    </w:pPr>
    <w:r>
      <w:rPr>
        <w:rFonts w:hint="eastAsia"/>
      </w:rPr>
      <w:t>2</w:t>
    </w:r>
    <w:r>
      <w:t xml:space="preserve">103 CA group assignment      group 22.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DBC" w:rsidRDefault="00DE7DBC">
      <w:r>
        <w:separator/>
      </w:r>
    </w:p>
  </w:footnote>
  <w:footnote w:type="continuationSeparator" w:id="0">
    <w:p w:rsidR="00DE7DBC" w:rsidRDefault="00DE7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229A87"/>
    <w:multiLevelType w:val="singleLevel"/>
    <w:tmpl w:val="DE229A87"/>
    <w:lvl w:ilvl="0">
      <w:start w:val="1"/>
      <w:numFmt w:val="lowerLetter"/>
      <w:suff w:val="space"/>
      <w:lvlText w:val="(%1)"/>
      <w:lvlJc w:val="left"/>
    </w:lvl>
  </w:abstractNum>
  <w:abstractNum w:abstractNumId="1" w15:restartNumberingAfterBreak="0">
    <w:nsid w:val="371F4A5B"/>
    <w:multiLevelType w:val="singleLevel"/>
    <w:tmpl w:val="371F4A5B"/>
    <w:lvl w:ilvl="0">
      <w:start w:val="1"/>
      <w:numFmt w:val="lowerLetter"/>
      <w:suff w:val="space"/>
      <w:lvlText w:val="(%1)"/>
      <w:lvlJc w:val="left"/>
    </w:lvl>
  </w:abstractNum>
  <w:abstractNum w:abstractNumId="2" w15:restartNumberingAfterBreak="0">
    <w:nsid w:val="37FE4D30"/>
    <w:multiLevelType w:val="hybridMultilevel"/>
    <w:tmpl w:val="299E0A32"/>
    <w:lvl w:ilvl="0" w:tplc="93FA66C6">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A864AD"/>
    <w:multiLevelType w:val="singleLevel"/>
    <w:tmpl w:val="3CA864AD"/>
    <w:lvl w:ilvl="0">
      <w:start w:val="1"/>
      <w:numFmt w:val="lowerLetter"/>
      <w:suff w:val="space"/>
      <w:lvlText w:val="(%1)"/>
      <w:lvlJc w:val="left"/>
    </w:lvl>
  </w:abstractNum>
  <w:abstractNum w:abstractNumId="4" w15:restartNumberingAfterBreak="0">
    <w:nsid w:val="57D846CA"/>
    <w:multiLevelType w:val="multilevel"/>
    <w:tmpl w:val="57D846CA"/>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2D7"/>
    <w:rsid w:val="005C4ABA"/>
    <w:rsid w:val="007232D7"/>
    <w:rsid w:val="00B1096E"/>
    <w:rsid w:val="00BB342D"/>
    <w:rsid w:val="00DE7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234DFD"/>
  <w15:chartTrackingRefBased/>
  <w15:docId w15:val="{98F8FF57-28EE-8D49-8426-CE165F55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232D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rsid w:val="007232D7"/>
    <w:pPr>
      <w:tabs>
        <w:tab w:val="center" w:pos="4153"/>
        <w:tab w:val="right" w:pos="8306"/>
      </w:tabs>
      <w:snapToGrid w:val="0"/>
      <w:jc w:val="left"/>
    </w:pPr>
    <w:rPr>
      <w:sz w:val="18"/>
      <w:szCs w:val="18"/>
    </w:rPr>
  </w:style>
  <w:style w:type="character" w:customStyle="1" w:styleId="a4">
    <w:name w:val="页脚 字符"/>
    <w:basedOn w:val="a0"/>
    <w:link w:val="a3"/>
    <w:qFormat/>
    <w:rsid w:val="007232D7"/>
    <w:rPr>
      <w:sz w:val="18"/>
      <w:szCs w:val="18"/>
    </w:rPr>
  </w:style>
  <w:style w:type="paragraph" w:styleId="a5">
    <w:name w:val="Normal (Web)"/>
    <w:basedOn w:val="a"/>
    <w:qFormat/>
    <w:rsid w:val="007232D7"/>
    <w:pPr>
      <w:spacing w:beforeAutospacing="1" w:afterAutospacing="1"/>
      <w:jc w:val="left"/>
    </w:pPr>
    <w:rPr>
      <w:rFonts w:cs="Times New Roman"/>
      <w:kern w:val="0"/>
      <w:sz w:val="24"/>
    </w:rPr>
  </w:style>
  <w:style w:type="character" w:styleId="a6">
    <w:name w:val="Hyperlink"/>
    <w:basedOn w:val="a0"/>
    <w:qFormat/>
    <w:rsid w:val="007232D7"/>
    <w:rPr>
      <w:color w:val="0000FF"/>
      <w:u w:val="single"/>
    </w:rPr>
  </w:style>
  <w:style w:type="paragraph" w:styleId="a7">
    <w:name w:val="List Paragraph"/>
    <w:basedOn w:val="a"/>
    <w:uiPriority w:val="34"/>
    <w:qFormat/>
    <w:rsid w:val="007232D7"/>
    <w:pPr>
      <w:ind w:firstLineChars="200" w:firstLine="420"/>
    </w:pPr>
  </w:style>
  <w:style w:type="character" w:styleId="a8">
    <w:name w:val="page number"/>
    <w:basedOn w:val="a0"/>
    <w:rsid w:val="00723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egislation.gov.au/Control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aasb.gov.au/admin/file/content105/c9/AASB101_07-15.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seaccounting.com/aasb-16/" TargetMode="External"/><Relationship Id="rId5" Type="http://schemas.openxmlformats.org/officeDocument/2006/relationships/footnotes" Target="footnotes.xml"/><Relationship Id="rId15" Type="http://schemas.openxmlformats.org/officeDocument/2006/relationships/hyperlink" Target="http://www.cba.com.br/RelatorioAnual2018/e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egislation.gov.au/Details/F2015L01562/Explanatory%20Statement/Tex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2236</Words>
  <Characters>12746</Characters>
  <Application>Microsoft Office Word</Application>
  <DocSecurity>0</DocSecurity>
  <Lines>106</Lines>
  <Paragraphs>29</Paragraphs>
  <ScaleCrop>false</ScaleCrop>
  <Company/>
  <LinksUpToDate>false</LinksUpToDate>
  <CharactersWithSpaces>14953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铎 杨</dc:creator>
  <cp:keywords/>
  <dc:description/>
  <cp:lastModifiedBy>铎 杨</cp:lastModifiedBy>
  <cp:revision>2</cp:revision>
  <dcterms:created xsi:type="dcterms:W3CDTF">2019-09-22T15:38:00Z</dcterms:created>
  <dcterms:modified xsi:type="dcterms:W3CDTF">2019-09-22T15:42:00Z</dcterms:modified>
</cp:coreProperties>
</file>