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微软雅黑" w:hAnsi="微软雅黑" w:eastAsia="微软雅黑"/>
          <w:b w:val="true"/>
          <w:bCs w:val="true"/>
          <w:color w:val="FF0000"/>
          <w:kern w:val="0"/>
          <w:sz w:val="32"/>
          <w:szCs w:val="32"/>
        </w:rPr>
        <w:t>数据分析类论文结构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第一章 绪论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绪论可以理解详细的摘要，较为详细地介绍论文的基本情况。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1.1 研究背景与意义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简要说明本研究的背景，本文研究在此背景下的意义，半页到1页纸左右。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 xml:space="preserve">1.2 研究问题与内容 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明确指出研究问题是什么，研究内容是哪几点，（1）研究内容1：。。。。（2）研究内容1：。。。。（3）研究内容1：。。。。，每一点研究用一段落介绍。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1.3 研究方法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说明用到的研究方法，两到三种主要的研究即可。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1.4 难点与创新点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明确指出创新点，写两三点；明确说出难点是，说两点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1.5 论文结构安排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说明本研究论文的构成，各章之间要体现逻辑性。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 xml:space="preserve">第二章 研究综述 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系统介绍与本文相关的研究，一般要介绍三点左右的相关研究，最后总结不足。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2.1 ***研究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2.2 ***研究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2.3 ***研究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2.4 研究现状总结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重点总结与本文研究主题方面存在的不足，总结说明不足时不要放开讲，要与本论文将要进行的研究有些对应，目的是引出本文研究。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第三章 数据获取与特征分析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详细介绍本研究的数据，如果是自己抓取的，说明抓取过程；如果是网上下载的，则详细介绍数据的构成。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3.1 数据抓取过程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可以简要介绍数据抓取的核心算法。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3.2 数据集介绍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说明数据集的包含哪些信息，每个字段特征含义。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3.3 数据预处理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如何处理缺乏数据，文本数据，非结构化数据等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3.4 数据特征分析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要针对数据分析的目的，对各数据集的特征指标与决策变量之间的相关关系进行分析，为统计建模准备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第四章 机器学习建模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本章为重点，详细介绍机器学习预测模型。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4.1 建模总思路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介绍本模型建立的直觉与思路，要让一个外行基本能听懂。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4.2 模型框架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详细介绍模型构成，包含哪几个模块，每个模块如何实现。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4.3 模型分析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模型的性能分析，优缺点分析。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第五章 实验仿真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本章主要通过实验验证检查模型效果。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5.1 实验数据集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如果是前面自己抓取或实证分析的数据集，本节可以省略。如果不是实证分析，一般至少要有两个数据集。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5.2 实验过程与方法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详细说明实验方法与过程，包括评价指标、评价基准方法。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5.3 实验结果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详细说明实验结果，要有多种形式展示结果，如表格或统计拆线图等。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第六章 模型应用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如果本方法在某一个实际场合应用，或是应用到某实际系统中，可以作一些介绍，但不一定是必须的。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6.1 应用分析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介绍本研究要应用到的企业或行业分析。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6.2 具体应用过程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详细说明应用过程，如果是嵌入到系统，介绍系统的构成。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6.3 应用效果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介绍应用效果，如果能有纵向应用成效的比较更好，但本部分不需要有算法层面的比较。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第七章 总结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7.1 研究结论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列举三点左右的研究结论。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7.2 研究展望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列举两点左右的不足，指出未来研究方向。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 w:line="312"/>
        <w:ind w:hangingChars="200"/>
        <w:jc w:val="left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