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3CC89" w14:textId="77777777" w:rsidR="006239DD" w:rsidRDefault="00D21C3E">
      <w:r>
        <w:t>Homework question 1:</w:t>
      </w:r>
    </w:p>
    <w:p w14:paraId="14CA60C4" w14:textId="77777777" w:rsidR="00D21C3E" w:rsidRDefault="00D21C3E"/>
    <w:p w14:paraId="32EEED23" w14:textId="77777777" w:rsidR="00D21C3E" w:rsidRDefault="00D21C3E">
      <w:r w:rsidRPr="00D21C3E">
        <w:t>What are three conclusions we can make about Kickstarter campaigns given the provided data?</w:t>
      </w:r>
    </w:p>
    <w:p w14:paraId="130C1875" w14:textId="77777777" w:rsidR="00D21C3E" w:rsidRDefault="00D21C3E"/>
    <w:p w14:paraId="5212F195" w14:textId="77777777" w:rsidR="0097660F" w:rsidRDefault="0097660F">
      <w:r>
        <w:t>Based on the chart of outcome by category</w:t>
      </w:r>
      <w:r w:rsidR="0026240B">
        <w:t xml:space="preserve">, the count of successful outcome of </w:t>
      </w:r>
      <w:r w:rsidR="008E42F4">
        <w:t xml:space="preserve">“theater” category is significantly higher than the other categories. </w:t>
      </w:r>
      <w:r w:rsidR="006C515D">
        <w:t xml:space="preserve">Campaigns in the “Music” category have the highest successful rate. </w:t>
      </w:r>
      <w:r w:rsidR="008E42F4">
        <w:t>Meanwhile, there is no successful precedent in “journalism” category.</w:t>
      </w:r>
    </w:p>
    <w:p w14:paraId="3BCAB9FF" w14:textId="77777777" w:rsidR="008E42F4" w:rsidRDefault="008E42F4">
      <w:r>
        <w:rPr>
          <w:noProof/>
        </w:rPr>
        <w:drawing>
          <wp:inline distT="0" distB="0" distL="0" distR="0" wp14:anchorId="636EE346" wp14:editId="3011E6C6">
            <wp:extent cx="5943600" cy="2589087"/>
            <wp:effectExtent l="0" t="0" r="12700" b="14605"/>
            <wp:docPr id="1" name="Chart 1">
              <a:extLst xmlns:a="http://schemas.openxmlformats.org/drawingml/2006/main">
                <a:ext uri="{FF2B5EF4-FFF2-40B4-BE49-F238E27FC236}">
                  <a16:creationId xmlns:a16="http://schemas.microsoft.com/office/drawing/2014/main" id="{E1CA7AFD-45DC-4142-8C46-23C248860C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B4E2F72" w14:textId="77777777" w:rsidR="008E42F4" w:rsidRDefault="008E42F4"/>
    <w:p w14:paraId="317F1104" w14:textId="77777777" w:rsidR="008E42F4" w:rsidRDefault="008E42F4">
      <w:r>
        <w:t>Based on the outcome per sub category chart, it can be concluded that the amount of successful campaigns in “plays” sub-category is higher than other sub-categories. Meanwhile, the successful rate of “documentary” and “rock” and “hardware” sub category is 100% with sufficient counts of successes</w:t>
      </w:r>
      <w:r w:rsidR="006C515D">
        <w:t xml:space="preserve"> (counts&gt;140)</w:t>
      </w:r>
    </w:p>
    <w:p w14:paraId="72BC8FCE" w14:textId="77777777" w:rsidR="006C515D" w:rsidRDefault="006C515D">
      <w:r>
        <w:rPr>
          <w:noProof/>
        </w:rPr>
        <w:drawing>
          <wp:inline distT="0" distB="0" distL="0" distR="0" wp14:anchorId="39CEF473" wp14:editId="5384B44C">
            <wp:extent cx="5943600" cy="3164440"/>
            <wp:effectExtent l="0" t="0" r="12700" b="10795"/>
            <wp:docPr id="3" name="Chart 3">
              <a:extLst xmlns:a="http://schemas.openxmlformats.org/drawingml/2006/main">
                <a:ext uri="{FF2B5EF4-FFF2-40B4-BE49-F238E27FC236}">
                  <a16:creationId xmlns:a16="http://schemas.microsoft.com/office/drawing/2014/main" id="{93672D05-4A1F-AC48-B928-80D7A94D92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6E5CB5F" w14:textId="77777777" w:rsidR="006C515D" w:rsidRDefault="006C515D">
      <w:r>
        <w:lastRenderedPageBreak/>
        <w:t xml:space="preserve">Generally speaking, there is no significant difference in terms of the starting months of the campaigns towards success. </w:t>
      </w:r>
      <w:r w:rsidR="00B058B1">
        <w:t>The accumulating counts of successful campaigns from 2009 to 2017 basically evenly distributed through the year.</w:t>
      </w:r>
    </w:p>
    <w:p w14:paraId="78B7C6F6" w14:textId="77777777" w:rsidR="00B058B1" w:rsidRDefault="00B058B1">
      <w:r>
        <w:rPr>
          <w:noProof/>
        </w:rPr>
        <w:drawing>
          <wp:inline distT="0" distB="0" distL="0" distR="0" wp14:anchorId="25059D41" wp14:editId="636E91B1">
            <wp:extent cx="5943600" cy="2934335"/>
            <wp:effectExtent l="0" t="0" r="12700" b="12065"/>
            <wp:docPr id="4" name="Chart 4">
              <a:extLst xmlns:a="http://schemas.openxmlformats.org/drawingml/2006/main">
                <a:ext uri="{FF2B5EF4-FFF2-40B4-BE49-F238E27FC236}">
                  <a16:creationId xmlns:a16="http://schemas.microsoft.com/office/drawing/2014/main" id="{B2540029-F79C-4047-990D-0C5D3CE7C9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D58C833" w14:textId="77777777" w:rsidR="00B058B1" w:rsidRDefault="00B058B1"/>
    <w:p w14:paraId="120517AF" w14:textId="77777777" w:rsidR="00B058B1" w:rsidRDefault="00B058B1"/>
    <w:p w14:paraId="686A4F2A" w14:textId="61DEA9A4" w:rsidR="00B058B1" w:rsidRDefault="00B058B1" w:rsidP="00B058B1">
      <w:r>
        <w:t>Homework question 2:</w:t>
      </w:r>
    </w:p>
    <w:p w14:paraId="361EE18E" w14:textId="77777777" w:rsidR="00691314" w:rsidRDefault="00691314" w:rsidP="00B058B1"/>
    <w:p w14:paraId="516C001C" w14:textId="59BFCA6B" w:rsidR="00B058B1" w:rsidRDefault="00B058B1" w:rsidP="00B058B1">
      <w:r w:rsidRPr="00B058B1">
        <w:t>What are some of the limitations of this dataset?</w:t>
      </w:r>
    </w:p>
    <w:p w14:paraId="2DC54FCD" w14:textId="77777777" w:rsidR="00691314" w:rsidRDefault="00691314" w:rsidP="00B058B1"/>
    <w:p w14:paraId="374D03B2" w14:textId="77777777" w:rsidR="00B058B1" w:rsidRDefault="00B058B1" w:rsidP="00B058B1">
      <w:r>
        <w:t xml:space="preserve">First, the sample size of the dataset is ~4000 cases compared with over 300,000 projects launched on </w:t>
      </w:r>
      <w:proofErr w:type="spellStart"/>
      <w:r>
        <w:t>kickstarter</w:t>
      </w:r>
      <w:proofErr w:type="spellEnd"/>
      <w:r>
        <w:t>. Clearly the sample size is relatively small, which might not be able to well present the true outcomes of all the projects.</w:t>
      </w:r>
    </w:p>
    <w:p w14:paraId="20938F1E" w14:textId="77777777" w:rsidR="00B058B1" w:rsidRDefault="00B058B1" w:rsidP="00B058B1">
      <w:r>
        <w:t xml:space="preserve">Second, most of the cases are from 2011 to 2016, only 59 of them are newer projects launched in 2017. With the </w:t>
      </w:r>
      <w:r w:rsidR="00CC7526">
        <w:t>fast-changing</w:t>
      </w:r>
      <w:r>
        <w:t xml:space="preserve"> economy from 2017 to 2018, </w:t>
      </w:r>
      <w:r w:rsidR="00CC7526">
        <w:t>these datasets could be outdated and cannot be used to properly present the trends of successful projects.</w:t>
      </w:r>
    </w:p>
    <w:p w14:paraId="57E6485D" w14:textId="77777777" w:rsidR="00CC7526" w:rsidRDefault="00CC7526">
      <w:r>
        <w:t xml:space="preserve">Third, according to the statistics provided by </w:t>
      </w:r>
      <w:proofErr w:type="spellStart"/>
      <w:r>
        <w:t>kickstarter</w:t>
      </w:r>
      <w:proofErr w:type="spellEnd"/>
      <w:r>
        <w:t>(</w:t>
      </w:r>
      <w:hyperlink r:id="rId7" w:history="1">
        <w:r w:rsidRPr="006A1E2D">
          <w:rPr>
            <w:rStyle w:val="Hyperlink"/>
          </w:rPr>
          <w:t>https://www.kickstarter.com/help/stats</w:t>
        </w:r>
      </w:hyperlink>
      <w:r>
        <w:t>), the categories we examined at here didn’t include some of the categories raised significant amount of money (etc. Design)</w:t>
      </w:r>
      <w:r w:rsidR="008D2BB6">
        <w:t xml:space="preserve"> or had highest successful rate (dance), therefore the analysis based on the dataset given could be inaccurate.</w:t>
      </w:r>
    </w:p>
    <w:p w14:paraId="38730927" w14:textId="77777777" w:rsidR="008D2BB6" w:rsidRDefault="008D2BB6"/>
    <w:p w14:paraId="3032F031" w14:textId="77777777" w:rsidR="008D2BB6" w:rsidRDefault="008D2BB6"/>
    <w:p w14:paraId="2D35452B" w14:textId="059338A7" w:rsidR="008D2BB6" w:rsidRDefault="008D2BB6">
      <w:r>
        <w:t>Homework question 3:</w:t>
      </w:r>
    </w:p>
    <w:p w14:paraId="7BF11596" w14:textId="77777777" w:rsidR="00691314" w:rsidRDefault="00691314"/>
    <w:p w14:paraId="6FAB5364" w14:textId="6AD62129" w:rsidR="008D2BB6" w:rsidRDefault="008D2BB6">
      <w:r w:rsidRPr="008D2BB6">
        <w:t>What are some other possible tables/graphs that we could create?</w:t>
      </w:r>
    </w:p>
    <w:p w14:paraId="33C323E5" w14:textId="77777777" w:rsidR="00691314" w:rsidRDefault="00691314">
      <w:bookmarkStart w:id="0" w:name="_GoBack"/>
      <w:bookmarkEnd w:id="0"/>
    </w:p>
    <w:p w14:paraId="1AAB1C31" w14:textId="77777777" w:rsidR="008D2BB6" w:rsidRDefault="008D2BB6">
      <w:r>
        <w:t>We could check backer counts per category to see if any of the categories (sub category) being especially attractive to backers. Also, we could do average donation per category (sub category) to see if there is any category attracts big money.</w:t>
      </w:r>
    </w:p>
    <w:p w14:paraId="316536D4" w14:textId="77777777" w:rsidR="008D2BB6" w:rsidRDefault="008D2BB6">
      <w:r>
        <w:lastRenderedPageBreak/>
        <w:t>We could make graph comparing the duration of the campaign per category, to see if any of the categories raises money faster than the others.</w:t>
      </w:r>
    </w:p>
    <w:p w14:paraId="12F5313E" w14:textId="77777777" w:rsidR="008D2BB6" w:rsidRDefault="008D2BB6">
      <w:r>
        <w:t>We could also check the region of the successful campaigns</w:t>
      </w:r>
      <w:r w:rsidR="00FA14C5">
        <w:t xml:space="preserve"> to see if there is any relationship between the success and the country in which the project is launched.</w:t>
      </w:r>
    </w:p>
    <w:sectPr w:rsidR="008D2BB6" w:rsidSect="00505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C3E"/>
    <w:rsid w:val="0026240B"/>
    <w:rsid w:val="005051D1"/>
    <w:rsid w:val="00691314"/>
    <w:rsid w:val="006C515D"/>
    <w:rsid w:val="008D2BB6"/>
    <w:rsid w:val="008E42F4"/>
    <w:rsid w:val="0097660F"/>
    <w:rsid w:val="00B058B1"/>
    <w:rsid w:val="00CC7526"/>
    <w:rsid w:val="00D21C3E"/>
    <w:rsid w:val="00F818EE"/>
    <w:rsid w:val="00FA1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7AEDFA"/>
  <w15:chartTrackingRefBased/>
  <w15:docId w15:val="{DAF5C5B7-90F4-A547-A86F-A8104FE14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75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7526"/>
    <w:rPr>
      <w:color w:val="0563C1" w:themeColor="hyperlink"/>
      <w:u w:val="single"/>
    </w:rPr>
  </w:style>
  <w:style w:type="character" w:styleId="UnresolvedMention">
    <w:name w:val="Unresolved Mention"/>
    <w:basedOn w:val="DefaultParagraphFont"/>
    <w:uiPriority w:val="99"/>
    <w:semiHidden/>
    <w:unhideWhenUsed/>
    <w:rsid w:val="00CC75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30772">
      <w:marLeft w:val="0"/>
      <w:marRight w:val="0"/>
      <w:marTop w:val="0"/>
      <w:marBottom w:val="0"/>
      <w:divBdr>
        <w:top w:val="none" w:sz="0" w:space="0" w:color="auto"/>
        <w:left w:val="none" w:sz="0" w:space="0" w:color="auto"/>
        <w:bottom w:val="none" w:sz="0" w:space="0" w:color="auto"/>
        <w:right w:val="none" w:sz="0" w:space="0" w:color="auto"/>
      </w:divBdr>
    </w:div>
    <w:div w:id="35353434">
      <w:marLeft w:val="0"/>
      <w:marRight w:val="0"/>
      <w:marTop w:val="0"/>
      <w:marBottom w:val="0"/>
      <w:divBdr>
        <w:top w:val="none" w:sz="0" w:space="0" w:color="auto"/>
        <w:left w:val="none" w:sz="0" w:space="0" w:color="auto"/>
        <w:bottom w:val="none" w:sz="0" w:space="0" w:color="auto"/>
        <w:right w:val="none" w:sz="0" w:space="0" w:color="auto"/>
      </w:divBdr>
    </w:div>
    <w:div w:id="89544457">
      <w:marLeft w:val="0"/>
      <w:marRight w:val="0"/>
      <w:marTop w:val="0"/>
      <w:marBottom w:val="0"/>
      <w:divBdr>
        <w:top w:val="none" w:sz="0" w:space="0" w:color="auto"/>
        <w:left w:val="none" w:sz="0" w:space="0" w:color="auto"/>
        <w:bottom w:val="none" w:sz="0" w:space="0" w:color="auto"/>
        <w:right w:val="none" w:sz="0" w:space="0" w:color="auto"/>
      </w:divBdr>
    </w:div>
    <w:div w:id="405807110">
      <w:marLeft w:val="0"/>
      <w:marRight w:val="0"/>
      <w:marTop w:val="0"/>
      <w:marBottom w:val="0"/>
      <w:divBdr>
        <w:top w:val="none" w:sz="0" w:space="0" w:color="auto"/>
        <w:left w:val="none" w:sz="0" w:space="0" w:color="auto"/>
        <w:bottom w:val="none" w:sz="0" w:space="0" w:color="auto"/>
        <w:right w:val="none" w:sz="0" w:space="0" w:color="auto"/>
      </w:divBdr>
    </w:div>
    <w:div w:id="426192731">
      <w:bodyDiv w:val="1"/>
      <w:marLeft w:val="0"/>
      <w:marRight w:val="0"/>
      <w:marTop w:val="0"/>
      <w:marBottom w:val="0"/>
      <w:divBdr>
        <w:top w:val="none" w:sz="0" w:space="0" w:color="auto"/>
        <w:left w:val="none" w:sz="0" w:space="0" w:color="auto"/>
        <w:bottom w:val="none" w:sz="0" w:space="0" w:color="auto"/>
        <w:right w:val="none" w:sz="0" w:space="0" w:color="auto"/>
      </w:divBdr>
      <w:divsChild>
        <w:div w:id="852182826">
          <w:marLeft w:val="0"/>
          <w:marRight w:val="0"/>
          <w:marTop w:val="0"/>
          <w:marBottom w:val="0"/>
          <w:divBdr>
            <w:top w:val="none" w:sz="0" w:space="0" w:color="auto"/>
            <w:left w:val="none" w:sz="0" w:space="0" w:color="auto"/>
            <w:bottom w:val="none" w:sz="0" w:space="0" w:color="auto"/>
            <w:right w:val="none" w:sz="0" w:space="0" w:color="auto"/>
          </w:divBdr>
          <w:divsChild>
            <w:div w:id="1639065187">
              <w:marLeft w:val="0"/>
              <w:marRight w:val="0"/>
              <w:marTop w:val="0"/>
              <w:marBottom w:val="0"/>
              <w:divBdr>
                <w:top w:val="none" w:sz="0" w:space="0" w:color="auto"/>
                <w:left w:val="none" w:sz="0" w:space="0" w:color="auto"/>
                <w:bottom w:val="none" w:sz="0" w:space="0" w:color="auto"/>
                <w:right w:val="none" w:sz="0" w:space="0" w:color="auto"/>
              </w:divBdr>
            </w:div>
          </w:divsChild>
        </w:div>
        <w:div w:id="1065880700">
          <w:marLeft w:val="0"/>
          <w:marRight w:val="0"/>
          <w:marTop w:val="0"/>
          <w:marBottom w:val="0"/>
          <w:divBdr>
            <w:top w:val="none" w:sz="0" w:space="0" w:color="auto"/>
            <w:left w:val="none" w:sz="0" w:space="0" w:color="auto"/>
            <w:bottom w:val="none" w:sz="0" w:space="0" w:color="auto"/>
            <w:right w:val="none" w:sz="0" w:space="0" w:color="auto"/>
          </w:divBdr>
        </w:div>
        <w:div w:id="1779643176">
          <w:marLeft w:val="0"/>
          <w:marRight w:val="0"/>
          <w:marTop w:val="0"/>
          <w:marBottom w:val="0"/>
          <w:divBdr>
            <w:top w:val="none" w:sz="0" w:space="0" w:color="auto"/>
            <w:left w:val="none" w:sz="0" w:space="0" w:color="auto"/>
            <w:bottom w:val="none" w:sz="0" w:space="0" w:color="auto"/>
            <w:right w:val="none" w:sz="0" w:space="0" w:color="auto"/>
          </w:divBdr>
        </w:div>
        <w:div w:id="484513572">
          <w:marLeft w:val="0"/>
          <w:marRight w:val="0"/>
          <w:marTop w:val="0"/>
          <w:marBottom w:val="0"/>
          <w:divBdr>
            <w:top w:val="none" w:sz="0" w:space="0" w:color="auto"/>
            <w:left w:val="none" w:sz="0" w:space="0" w:color="auto"/>
            <w:bottom w:val="none" w:sz="0" w:space="0" w:color="auto"/>
            <w:right w:val="none" w:sz="0" w:space="0" w:color="auto"/>
          </w:divBdr>
        </w:div>
        <w:div w:id="1616250257">
          <w:marLeft w:val="0"/>
          <w:marRight w:val="0"/>
          <w:marTop w:val="0"/>
          <w:marBottom w:val="0"/>
          <w:divBdr>
            <w:top w:val="none" w:sz="0" w:space="0" w:color="auto"/>
            <w:left w:val="none" w:sz="0" w:space="0" w:color="auto"/>
            <w:bottom w:val="none" w:sz="0" w:space="0" w:color="auto"/>
            <w:right w:val="none" w:sz="0" w:space="0" w:color="auto"/>
          </w:divBdr>
        </w:div>
        <w:div w:id="147216228">
          <w:marLeft w:val="0"/>
          <w:marRight w:val="0"/>
          <w:marTop w:val="0"/>
          <w:marBottom w:val="0"/>
          <w:divBdr>
            <w:top w:val="none" w:sz="0" w:space="0" w:color="auto"/>
            <w:left w:val="none" w:sz="0" w:space="0" w:color="auto"/>
            <w:bottom w:val="none" w:sz="0" w:space="0" w:color="auto"/>
            <w:right w:val="none" w:sz="0" w:space="0" w:color="auto"/>
          </w:divBdr>
        </w:div>
        <w:div w:id="1232501539">
          <w:marLeft w:val="0"/>
          <w:marRight w:val="0"/>
          <w:marTop w:val="0"/>
          <w:marBottom w:val="0"/>
          <w:divBdr>
            <w:top w:val="none" w:sz="0" w:space="0" w:color="auto"/>
            <w:left w:val="none" w:sz="0" w:space="0" w:color="auto"/>
            <w:bottom w:val="none" w:sz="0" w:space="0" w:color="auto"/>
            <w:right w:val="none" w:sz="0" w:space="0" w:color="auto"/>
          </w:divBdr>
        </w:div>
        <w:div w:id="367219688">
          <w:marLeft w:val="0"/>
          <w:marRight w:val="0"/>
          <w:marTop w:val="0"/>
          <w:marBottom w:val="0"/>
          <w:divBdr>
            <w:top w:val="none" w:sz="0" w:space="0" w:color="auto"/>
            <w:left w:val="none" w:sz="0" w:space="0" w:color="auto"/>
            <w:bottom w:val="none" w:sz="0" w:space="0" w:color="auto"/>
            <w:right w:val="none" w:sz="0" w:space="0" w:color="auto"/>
          </w:divBdr>
        </w:div>
      </w:divsChild>
    </w:div>
    <w:div w:id="476384300">
      <w:marLeft w:val="0"/>
      <w:marRight w:val="0"/>
      <w:marTop w:val="0"/>
      <w:marBottom w:val="0"/>
      <w:divBdr>
        <w:top w:val="none" w:sz="0" w:space="0" w:color="auto"/>
        <w:left w:val="none" w:sz="0" w:space="0" w:color="auto"/>
        <w:bottom w:val="none" w:sz="0" w:space="0" w:color="auto"/>
        <w:right w:val="none" w:sz="0" w:space="0" w:color="auto"/>
      </w:divBdr>
    </w:div>
    <w:div w:id="627397999">
      <w:bodyDiv w:val="1"/>
      <w:marLeft w:val="0"/>
      <w:marRight w:val="0"/>
      <w:marTop w:val="0"/>
      <w:marBottom w:val="0"/>
      <w:divBdr>
        <w:top w:val="none" w:sz="0" w:space="0" w:color="auto"/>
        <w:left w:val="none" w:sz="0" w:space="0" w:color="auto"/>
        <w:bottom w:val="none" w:sz="0" w:space="0" w:color="auto"/>
        <w:right w:val="none" w:sz="0" w:space="0" w:color="auto"/>
      </w:divBdr>
    </w:div>
    <w:div w:id="641236654">
      <w:marLeft w:val="0"/>
      <w:marRight w:val="0"/>
      <w:marTop w:val="0"/>
      <w:marBottom w:val="0"/>
      <w:divBdr>
        <w:top w:val="none" w:sz="0" w:space="0" w:color="auto"/>
        <w:left w:val="none" w:sz="0" w:space="0" w:color="auto"/>
        <w:bottom w:val="none" w:sz="0" w:space="0" w:color="auto"/>
        <w:right w:val="none" w:sz="0" w:space="0" w:color="auto"/>
      </w:divBdr>
    </w:div>
    <w:div w:id="649988616">
      <w:bodyDiv w:val="1"/>
      <w:marLeft w:val="0"/>
      <w:marRight w:val="0"/>
      <w:marTop w:val="0"/>
      <w:marBottom w:val="0"/>
      <w:divBdr>
        <w:top w:val="none" w:sz="0" w:space="0" w:color="auto"/>
        <w:left w:val="none" w:sz="0" w:space="0" w:color="auto"/>
        <w:bottom w:val="none" w:sz="0" w:space="0" w:color="auto"/>
        <w:right w:val="none" w:sz="0" w:space="0" w:color="auto"/>
      </w:divBdr>
    </w:div>
    <w:div w:id="848955544">
      <w:marLeft w:val="0"/>
      <w:marRight w:val="0"/>
      <w:marTop w:val="0"/>
      <w:marBottom w:val="0"/>
      <w:divBdr>
        <w:top w:val="none" w:sz="0" w:space="0" w:color="auto"/>
        <w:left w:val="none" w:sz="0" w:space="0" w:color="auto"/>
        <w:bottom w:val="none" w:sz="0" w:space="0" w:color="auto"/>
        <w:right w:val="none" w:sz="0" w:space="0" w:color="auto"/>
      </w:divBdr>
    </w:div>
    <w:div w:id="1030304878">
      <w:marLeft w:val="0"/>
      <w:marRight w:val="0"/>
      <w:marTop w:val="0"/>
      <w:marBottom w:val="0"/>
      <w:divBdr>
        <w:top w:val="none" w:sz="0" w:space="0" w:color="auto"/>
        <w:left w:val="none" w:sz="0" w:space="0" w:color="auto"/>
        <w:bottom w:val="none" w:sz="0" w:space="0" w:color="auto"/>
        <w:right w:val="none" w:sz="0" w:space="0" w:color="auto"/>
      </w:divBdr>
    </w:div>
    <w:div w:id="1135871125">
      <w:marLeft w:val="0"/>
      <w:marRight w:val="0"/>
      <w:marTop w:val="0"/>
      <w:marBottom w:val="0"/>
      <w:divBdr>
        <w:top w:val="none" w:sz="0" w:space="0" w:color="auto"/>
        <w:left w:val="none" w:sz="0" w:space="0" w:color="auto"/>
        <w:bottom w:val="none" w:sz="0" w:space="0" w:color="auto"/>
        <w:right w:val="none" w:sz="0" w:space="0" w:color="auto"/>
      </w:divBdr>
    </w:div>
    <w:div w:id="1154031914">
      <w:marLeft w:val="0"/>
      <w:marRight w:val="0"/>
      <w:marTop w:val="0"/>
      <w:marBottom w:val="0"/>
      <w:divBdr>
        <w:top w:val="none" w:sz="0" w:space="0" w:color="auto"/>
        <w:left w:val="none" w:sz="0" w:space="0" w:color="auto"/>
        <w:bottom w:val="none" w:sz="0" w:space="0" w:color="auto"/>
        <w:right w:val="none" w:sz="0" w:space="0" w:color="auto"/>
      </w:divBdr>
    </w:div>
    <w:div w:id="1176724455">
      <w:marLeft w:val="0"/>
      <w:marRight w:val="0"/>
      <w:marTop w:val="0"/>
      <w:marBottom w:val="0"/>
      <w:divBdr>
        <w:top w:val="none" w:sz="0" w:space="0" w:color="auto"/>
        <w:left w:val="none" w:sz="0" w:space="0" w:color="auto"/>
        <w:bottom w:val="none" w:sz="0" w:space="0" w:color="auto"/>
        <w:right w:val="none" w:sz="0" w:space="0" w:color="auto"/>
      </w:divBdr>
    </w:div>
    <w:div w:id="1345353671">
      <w:marLeft w:val="0"/>
      <w:marRight w:val="0"/>
      <w:marTop w:val="0"/>
      <w:marBottom w:val="0"/>
      <w:divBdr>
        <w:top w:val="none" w:sz="0" w:space="0" w:color="auto"/>
        <w:left w:val="none" w:sz="0" w:space="0" w:color="auto"/>
        <w:bottom w:val="none" w:sz="0" w:space="0" w:color="auto"/>
        <w:right w:val="none" w:sz="0" w:space="0" w:color="auto"/>
      </w:divBdr>
    </w:div>
    <w:div w:id="1673101081">
      <w:bodyDiv w:val="1"/>
      <w:marLeft w:val="0"/>
      <w:marRight w:val="0"/>
      <w:marTop w:val="0"/>
      <w:marBottom w:val="0"/>
      <w:divBdr>
        <w:top w:val="none" w:sz="0" w:space="0" w:color="auto"/>
        <w:left w:val="none" w:sz="0" w:space="0" w:color="auto"/>
        <w:bottom w:val="none" w:sz="0" w:space="0" w:color="auto"/>
        <w:right w:val="none" w:sz="0" w:space="0" w:color="auto"/>
      </w:divBdr>
      <w:divsChild>
        <w:div w:id="459154876">
          <w:marLeft w:val="0"/>
          <w:marRight w:val="0"/>
          <w:marTop w:val="0"/>
          <w:marBottom w:val="0"/>
          <w:divBdr>
            <w:top w:val="none" w:sz="0" w:space="0" w:color="auto"/>
            <w:left w:val="none" w:sz="0" w:space="0" w:color="auto"/>
            <w:bottom w:val="none" w:sz="0" w:space="0" w:color="auto"/>
            <w:right w:val="none" w:sz="0" w:space="0" w:color="auto"/>
          </w:divBdr>
          <w:divsChild>
            <w:div w:id="1710253517">
              <w:marLeft w:val="0"/>
              <w:marRight w:val="0"/>
              <w:marTop w:val="0"/>
              <w:marBottom w:val="0"/>
              <w:divBdr>
                <w:top w:val="none" w:sz="0" w:space="0" w:color="auto"/>
                <w:left w:val="none" w:sz="0" w:space="0" w:color="auto"/>
                <w:bottom w:val="none" w:sz="0" w:space="0" w:color="auto"/>
                <w:right w:val="none" w:sz="0" w:space="0" w:color="auto"/>
              </w:divBdr>
            </w:div>
          </w:divsChild>
        </w:div>
        <w:div w:id="899294617">
          <w:marLeft w:val="0"/>
          <w:marRight w:val="0"/>
          <w:marTop w:val="0"/>
          <w:marBottom w:val="0"/>
          <w:divBdr>
            <w:top w:val="none" w:sz="0" w:space="0" w:color="auto"/>
            <w:left w:val="none" w:sz="0" w:space="0" w:color="auto"/>
            <w:bottom w:val="none" w:sz="0" w:space="0" w:color="auto"/>
            <w:right w:val="none" w:sz="0" w:space="0" w:color="auto"/>
          </w:divBdr>
        </w:div>
        <w:div w:id="2009089435">
          <w:marLeft w:val="0"/>
          <w:marRight w:val="0"/>
          <w:marTop w:val="0"/>
          <w:marBottom w:val="0"/>
          <w:divBdr>
            <w:top w:val="none" w:sz="0" w:space="0" w:color="auto"/>
            <w:left w:val="none" w:sz="0" w:space="0" w:color="auto"/>
            <w:bottom w:val="none" w:sz="0" w:space="0" w:color="auto"/>
            <w:right w:val="none" w:sz="0" w:space="0" w:color="auto"/>
          </w:divBdr>
        </w:div>
        <w:div w:id="1580023271">
          <w:marLeft w:val="0"/>
          <w:marRight w:val="0"/>
          <w:marTop w:val="0"/>
          <w:marBottom w:val="0"/>
          <w:divBdr>
            <w:top w:val="none" w:sz="0" w:space="0" w:color="auto"/>
            <w:left w:val="none" w:sz="0" w:space="0" w:color="auto"/>
            <w:bottom w:val="none" w:sz="0" w:space="0" w:color="auto"/>
            <w:right w:val="none" w:sz="0" w:space="0" w:color="auto"/>
          </w:divBdr>
        </w:div>
        <w:div w:id="1328901274">
          <w:marLeft w:val="0"/>
          <w:marRight w:val="0"/>
          <w:marTop w:val="0"/>
          <w:marBottom w:val="0"/>
          <w:divBdr>
            <w:top w:val="none" w:sz="0" w:space="0" w:color="auto"/>
            <w:left w:val="none" w:sz="0" w:space="0" w:color="auto"/>
            <w:bottom w:val="none" w:sz="0" w:space="0" w:color="auto"/>
            <w:right w:val="none" w:sz="0" w:space="0" w:color="auto"/>
          </w:divBdr>
        </w:div>
        <w:div w:id="1814635516">
          <w:marLeft w:val="0"/>
          <w:marRight w:val="0"/>
          <w:marTop w:val="0"/>
          <w:marBottom w:val="0"/>
          <w:divBdr>
            <w:top w:val="none" w:sz="0" w:space="0" w:color="auto"/>
            <w:left w:val="none" w:sz="0" w:space="0" w:color="auto"/>
            <w:bottom w:val="none" w:sz="0" w:space="0" w:color="auto"/>
            <w:right w:val="none" w:sz="0" w:space="0" w:color="auto"/>
          </w:divBdr>
        </w:div>
        <w:div w:id="179049212">
          <w:marLeft w:val="0"/>
          <w:marRight w:val="0"/>
          <w:marTop w:val="0"/>
          <w:marBottom w:val="0"/>
          <w:divBdr>
            <w:top w:val="none" w:sz="0" w:space="0" w:color="auto"/>
            <w:left w:val="none" w:sz="0" w:space="0" w:color="auto"/>
            <w:bottom w:val="none" w:sz="0" w:space="0" w:color="auto"/>
            <w:right w:val="none" w:sz="0" w:space="0" w:color="auto"/>
          </w:divBdr>
        </w:div>
        <w:div w:id="1611088770">
          <w:marLeft w:val="0"/>
          <w:marRight w:val="0"/>
          <w:marTop w:val="0"/>
          <w:marBottom w:val="0"/>
          <w:divBdr>
            <w:top w:val="none" w:sz="0" w:space="0" w:color="auto"/>
            <w:left w:val="none" w:sz="0" w:space="0" w:color="auto"/>
            <w:bottom w:val="none" w:sz="0" w:space="0" w:color="auto"/>
            <w:right w:val="none" w:sz="0" w:space="0" w:color="auto"/>
          </w:divBdr>
        </w:div>
      </w:divsChild>
    </w:div>
    <w:div w:id="1736928607">
      <w:marLeft w:val="0"/>
      <w:marRight w:val="0"/>
      <w:marTop w:val="0"/>
      <w:marBottom w:val="0"/>
      <w:divBdr>
        <w:top w:val="none" w:sz="0" w:space="0" w:color="auto"/>
        <w:left w:val="none" w:sz="0" w:space="0" w:color="auto"/>
        <w:bottom w:val="none" w:sz="0" w:space="0" w:color="auto"/>
        <w:right w:val="none" w:sz="0" w:space="0" w:color="auto"/>
      </w:divBdr>
    </w:div>
    <w:div w:id="1817214941">
      <w:marLeft w:val="0"/>
      <w:marRight w:val="0"/>
      <w:marTop w:val="0"/>
      <w:marBottom w:val="0"/>
      <w:divBdr>
        <w:top w:val="none" w:sz="0" w:space="0" w:color="auto"/>
        <w:left w:val="none" w:sz="0" w:space="0" w:color="auto"/>
        <w:bottom w:val="none" w:sz="0" w:space="0" w:color="auto"/>
        <w:right w:val="none" w:sz="0" w:space="0" w:color="auto"/>
      </w:divBdr>
    </w:div>
    <w:div w:id="1818762724">
      <w:bodyDiv w:val="1"/>
      <w:marLeft w:val="0"/>
      <w:marRight w:val="0"/>
      <w:marTop w:val="0"/>
      <w:marBottom w:val="0"/>
      <w:divBdr>
        <w:top w:val="none" w:sz="0" w:space="0" w:color="auto"/>
        <w:left w:val="none" w:sz="0" w:space="0" w:color="auto"/>
        <w:bottom w:val="none" w:sz="0" w:space="0" w:color="auto"/>
        <w:right w:val="none" w:sz="0" w:space="0" w:color="auto"/>
      </w:divBdr>
    </w:div>
    <w:div w:id="1837527716">
      <w:marLeft w:val="0"/>
      <w:marRight w:val="0"/>
      <w:marTop w:val="0"/>
      <w:marBottom w:val="0"/>
      <w:divBdr>
        <w:top w:val="none" w:sz="0" w:space="0" w:color="auto"/>
        <w:left w:val="none" w:sz="0" w:space="0" w:color="auto"/>
        <w:bottom w:val="none" w:sz="0" w:space="0" w:color="auto"/>
        <w:right w:val="none" w:sz="0" w:space="0" w:color="auto"/>
      </w:divBdr>
    </w:div>
    <w:div w:id="202875325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ickstarter.com/help/sta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YoYoYe/Library/Containers/com.microsoft.Excel/Data/Desktop/Rutgers%20Data%20Science%20Bootcamp/HW1/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YoYoYe/Library/Containers/com.microsoft.Excel/Data/Desktop/Rutgers%20Data%20Science%20Bootcamp/HW1/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YoYoYe/Library/Containers/com.microsoft.Excel/Data/Desktop/Rutgers%20Data%20Science%20Bootcamp/HW1/Starter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[StarterBook.xlsx]Pivot1!PivotTable1</c:name>
    <c:fmtId val="-1"/>
  </c:pivotSource>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US" sz="1200" b="1"/>
              <a:t>Outcomes by catagory</a:t>
            </a: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c:spPr>
        <c:marker>
          <c:symbol val="none"/>
        </c:marker>
      </c:pivotFmt>
      <c:pivotFmt>
        <c:idx val="1"/>
        <c:spPr>
          <a:solidFill>
            <a:srgbClr val="FF0000">
              <a:alpha val="60000"/>
            </a:srgbClr>
          </a:solidFill>
          <a:ln>
            <a:noFill/>
          </a:ln>
          <a:effectLst/>
        </c:spPr>
        <c:marker>
          <c:symbol val="none"/>
        </c:marker>
      </c:pivotFmt>
      <c:pivotFmt>
        <c:idx val="2"/>
        <c:spPr>
          <a:solidFill>
            <a:schemeClr val="accent4">
              <a:lumMod val="60000"/>
              <a:lumOff val="40000"/>
            </a:schemeClr>
          </a:solidFill>
          <a:ln>
            <a:noFill/>
          </a:ln>
          <a:effectLst/>
        </c:spPr>
        <c:marker>
          <c:symbol val="none"/>
        </c:marker>
      </c:pivotFmt>
      <c:pivotFmt>
        <c:idx val="3"/>
        <c:spPr>
          <a:solidFill>
            <a:schemeClr val="accent5"/>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6"/>
          </a:solidFill>
          <a:ln>
            <a:noFill/>
          </a:ln>
          <a:effectLst/>
        </c:spPr>
        <c:marker>
          <c:symbol val="none"/>
        </c:marker>
      </c:pivotFmt>
      <c:pivotFmt>
        <c:idx val="6"/>
        <c:spPr>
          <a:solidFill>
            <a:srgbClr val="FF0000">
              <a:alpha val="60000"/>
            </a:srgbClr>
          </a:solidFill>
          <a:ln>
            <a:noFill/>
          </a:ln>
          <a:effectLst/>
        </c:spPr>
        <c:marker>
          <c:symbol val="none"/>
        </c:marker>
      </c:pivotFmt>
      <c:pivotFmt>
        <c:idx val="7"/>
        <c:spPr>
          <a:solidFill>
            <a:schemeClr val="accent4">
              <a:lumMod val="60000"/>
              <a:lumOff val="40000"/>
            </a:schemeClr>
          </a:solidFill>
          <a:ln>
            <a:noFill/>
          </a:ln>
          <a:effectLst/>
        </c:spPr>
        <c:marker>
          <c:symbol val="none"/>
        </c:marker>
      </c:pivotFmt>
      <c:pivotFmt>
        <c:idx val="8"/>
        <c:spPr>
          <a:solidFill>
            <a:schemeClr val="accent5"/>
          </a:solidFill>
          <a:ln>
            <a:noFill/>
          </a:ln>
          <a:effectLst/>
        </c:spPr>
        <c:marker>
          <c:symbol val="none"/>
        </c:marker>
      </c:pivotFmt>
      <c:pivotFmt>
        <c:idx val="9"/>
        <c:spPr>
          <a:solidFill>
            <a:schemeClr val="accent6"/>
          </a:solidFill>
          <a:ln>
            <a:noFill/>
          </a:ln>
          <a:effectLst/>
        </c:spPr>
        <c:marker>
          <c:symbol val="none"/>
        </c:marker>
      </c:pivotFmt>
      <c:pivotFmt>
        <c:idx val="10"/>
        <c:spPr>
          <a:solidFill>
            <a:srgbClr val="FF0000">
              <a:alpha val="60000"/>
            </a:srgbClr>
          </a:solidFill>
          <a:ln>
            <a:noFill/>
          </a:ln>
          <a:effectLst/>
        </c:spPr>
        <c:marker>
          <c:symbol val="none"/>
        </c:marker>
      </c:pivotFmt>
      <c:pivotFmt>
        <c:idx val="11"/>
        <c:spPr>
          <a:solidFill>
            <a:schemeClr val="accent4">
              <a:lumMod val="60000"/>
              <a:lumOff val="40000"/>
            </a:schemeClr>
          </a:solidFill>
          <a:ln>
            <a:noFill/>
          </a:ln>
          <a:effectLst/>
        </c:spPr>
        <c:marker>
          <c:symbol val="none"/>
        </c:marker>
      </c:pivotFmt>
      <c:pivotFmt>
        <c:idx val="12"/>
        <c:spPr>
          <a:solidFill>
            <a:schemeClr val="accent5"/>
          </a:solidFill>
          <a:ln>
            <a:noFill/>
          </a:ln>
          <a:effectLst/>
        </c:spPr>
        <c:marker>
          <c:symbol val="none"/>
        </c:marker>
      </c:pivotFmt>
    </c:pivotFmts>
    <c:plotArea>
      <c:layout>
        <c:manualLayout>
          <c:layoutTarget val="inner"/>
          <c:xMode val="edge"/>
          <c:yMode val="edge"/>
          <c:x val="6.7010972912822389E-2"/>
          <c:y val="0.12767645689533025"/>
          <c:w val="0.81083322692771509"/>
          <c:h val="0.7663943485213448"/>
        </c:manualLayout>
      </c:layout>
      <c:barChart>
        <c:barDir val="col"/>
        <c:grouping val="stacked"/>
        <c:varyColors val="0"/>
        <c:ser>
          <c:idx val="0"/>
          <c:order val="0"/>
          <c:tx>
            <c:strRef>
              <c:f>Pivot1!$B$4:$B$5</c:f>
              <c:strCache>
                <c:ptCount val="1"/>
                <c:pt idx="0">
                  <c:v>successful</c:v>
                </c:pt>
              </c:strCache>
            </c:strRef>
          </c:tx>
          <c:spPr>
            <a:solidFill>
              <a:schemeClr val="accent6"/>
            </a:solidFill>
            <a:ln>
              <a:noFill/>
            </a:ln>
            <a:effectLst/>
          </c:spPr>
          <c:invertIfNegative val="0"/>
          <c:cat>
            <c:strRef>
              <c:f>Pivot1!$A$6:$A$15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Pivot1!$B$6:$B$15</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0D6A-9E48-B5A7-A2BB4C0FDB20}"/>
            </c:ext>
          </c:extLst>
        </c:ser>
        <c:ser>
          <c:idx val="1"/>
          <c:order val="1"/>
          <c:tx>
            <c:strRef>
              <c:f>Pivot1!$C$4:$C$5</c:f>
              <c:strCache>
                <c:ptCount val="1"/>
                <c:pt idx="0">
                  <c:v>failed</c:v>
                </c:pt>
              </c:strCache>
            </c:strRef>
          </c:tx>
          <c:spPr>
            <a:solidFill>
              <a:srgbClr val="FF0000">
                <a:alpha val="60000"/>
              </a:srgbClr>
            </a:solidFill>
            <a:ln>
              <a:noFill/>
            </a:ln>
            <a:effectLst/>
          </c:spPr>
          <c:invertIfNegative val="0"/>
          <c:cat>
            <c:strRef>
              <c:f>Pivot1!$A$6:$A$15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Pivot1!$C$6:$C$15</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0D6A-9E48-B5A7-A2BB4C0FDB20}"/>
            </c:ext>
          </c:extLst>
        </c:ser>
        <c:ser>
          <c:idx val="2"/>
          <c:order val="2"/>
          <c:tx>
            <c:strRef>
              <c:f>Pivot1!$D$4:$D$5</c:f>
              <c:strCache>
                <c:ptCount val="1"/>
                <c:pt idx="0">
                  <c:v>canceled</c:v>
                </c:pt>
              </c:strCache>
            </c:strRef>
          </c:tx>
          <c:spPr>
            <a:solidFill>
              <a:schemeClr val="accent4">
                <a:lumMod val="60000"/>
                <a:lumOff val="40000"/>
              </a:schemeClr>
            </a:solidFill>
            <a:ln>
              <a:noFill/>
            </a:ln>
            <a:effectLst/>
          </c:spPr>
          <c:invertIfNegative val="0"/>
          <c:cat>
            <c:strRef>
              <c:f>Pivot1!$A$6:$A$15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Pivot1!$D$6:$D$15</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2-0D6A-9E48-B5A7-A2BB4C0FDB20}"/>
            </c:ext>
          </c:extLst>
        </c:ser>
        <c:ser>
          <c:idx val="3"/>
          <c:order val="3"/>
          <c:tx>
            <c:strRef>
              <c:f>Pivot1!$E$4:$E$5</c:f>
              <c:strCache>
                <c:ptCount val="1"/>
                <c:pt idx="0">
                  <c:v>live</c:v>
                </c:pt>
              </c:strCache>
            </c:strRef>
          </c:tx>
          <c:spPr>
            <a:solidFill>
              <a:schemeClr val="accent5"/>
            </a:solidFill>
            <a:ln>
              <a:noFill/>
            </a:ln>
            <a:effectLst/>
          </c:spPr>
          <c:invertIfNegative val="0"/>
          <c:cat>
            <c:strRef>
              <c:f>Pivot1!$A$6:$A$15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Pivot1!$E$6:$E$15</c:f>
              <c:numCache>
                <c:formatCode>General</c:formatCode>
                <c:ptCount val="9"/>
                <c:pt idx="1">
                  <c:v>6</c:v>
                </c:pt>
                <c:pt idx="4">
                  <c:v>20</c:v>
                </c:pt>
                <c:pt idx="8">
                  <c:v>24</c:v>
                </c:pt>
              </c:numCache>
            </c:numRef>
          </c:val>
          <c:extLst>
            <c:ext xmlns:c16="http://schemas.microsoft.com/office/drawing/2014/chart" uri="{C3380CC4-5D6E-409C-BE32-E72D297353CC}">
              <c16:uniqueId val="{00000003-0D6A-9E48-B5A7-A2BB4C0FDB20}"/>
            </c:ext>
          </c:extLst>
        </c:ser>
        <c:dLbls>
          <c:showLegendKey val="0"/>
          <c:showVal val="0"/>
          <c:showCatName val="0"/>
          <c:showSerName val="0"/>
          <c:showPercent val="0"/>
          <c:showBubbleSize val="0"/>
        </c:dLbls>
        <c:gapWidth val="219"/>
        <c:overlap val="100"/>
        <c:axId val="1043995391"/>
        <c:axId val="1043997087"/>
      </c:barChart>
      <c:catAx>
        <c:axId val="10439953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crossAx val="1043997087"/>
        <c:crosses val="autoZero"/>
        <c:auto val="1"/>
        <c:lblAlgn val="ctr"/>
        <c:lblOffset val="100"/>
        <c:noMultiLvlLbl val="0"/>
      </c:catAx>
      <c:valAx>
        <c:axId val="10439970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100" b="1" i="0" u="none" strike="noStrike" kern="1200" baseline="0">
                    <a:solidFill>
                      <a:schemeClr val="tx1">
                        <a:lumMod val="65000"/>
                        <a:lumOff val="35000"/>
                      </a:schemeClr>
                    </a:solidFill>
                    <a:latin typeface="+mn-lt"/>
                    <a:ea typeface="+mn-ea"/>
                    <a:cs typeface="+mn-cs"/>
                  </a:defRPr>
                </a:pPr>
                <a:r>
                  <a:rPr lang="en-US" sz="1100" b="1"/>
                  <a:t>Count of outcome</a:t>
                </a:r>
              </a:p>
            </c:rich>
          </c:tx>
          <c:layout>
            <c:manualLayout>
              <c:xMode val="edge"/>
              <c:yMode val="edge"/>
              <c:x val="8.4015007528447649E-3"/>
              <c:y val="5.3721838754731494E-2"/>
            </c:manualLayout>
          </c:layout>
          <c:overlay val="0"/>
          <c:spPr>
            <a:noFill/>
            <a:ln>
              <a:noFill/>
            </a:ln>
            <a:effectLst/>
          </c:spPr>
          <c:txPr>
            <a:bodyPr rot="0" spcFirstLastPara="1" vertOverflow="ellipsis"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104399539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baseline="0">
                <a:effectLst/>
              </a:rPr>
              <a:t>Outcomes by sub-catagory</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6"/>
          </a:solidFill>
          <a:ln>
            <a:noFill/>
          </a:ln>
          <a:effectLst/>
        </c:spPr>
        <c:marker>
          <c:symbol val="none"/>
        </c:marker>
      </c:pivotFmt>
      <c:pivotFmt>
        <c:idx val="5"/>
        <c:spPr>
          <a:solidFill>
            <a:srgbClr val="FF0000"/>
          </a:solidFill>
          <a:ln>
            <a:noFill/>
          </a:ln>
          <a:effectLst/>
        </c:spPr>
        <c:marker>
          <c:symbol val="none"/>
        </c:marker>
      </c:pivotFmt>
      <c:pivotFmt>
        <c:idx val="6"/>
        <c:spPr>
          <a:solidFill>
            <a:schemeClr val="accent4">
              <a:lumMod val="40000"/>
              <a:lumOff val="60000"/>
            </a:schemeClr>
          </a:solidFill>
          <a:ln>
            <a:noFill/>
          </a:ln>
          <a:effectLst/>
        </c:spPr>
        <c:marker>
          <c:symbol val="none"/>
        </c:marker>
      </c:pivotFmt>
      <c:pivotFmt>
        <c:idx val="7"/>
        <c:spPr>
          <a:solidFill>
            <a:schemeClr val="accent5"/>
          </a:solidFill>
          <a:ln>
            <a:noFill/>
          </a:ln>
          <a:effectLst/>
        </c:spPr>
        <c:marker>
          <c:symbol val="none"/>
        </c:marker>
      </c:pivotFmt>
      <c:pivotFmt>
        <c:idx val="8"/>
        <c:spPr>
          <a:solidFill>
            <a:schemeClr val="accent6"/>
          </a:solidFill>
          <a:ln>
            <a:noFill/>
          </a:ln>
          <a:effectLst/>
        </c:spPr>
        <c:marker>
          <c:symbol val="none"/>
        </c:marker>
      </c:pivotFmt>
      <c:pivotFmt>
        <c:idx val="9"/>
        <c:spPr>
          <a:solidFill>
            <a:srgbClr val="FF0000"/>
          </a:solidFill>
          <a:ln>
            <a:noFill/>
          </a:ln>
          <a:effectLst/>
        </c:spPr>
        <c:marker>
          <c:symbol val="none"/>
        </c:marker>
      </c:pivotFmt>
      <c:pivotFmt>
        <c:idx val="10"/>
        <c:spPr>
          <a:solidFill>
            <a:schemeClr val="accent4">
              <a:lumMod val="40000"/>
              <a:lumOff val="60000"/>
            </a:schemeClr>
          </a:solidFill>
          <a:ln>
            <a:noFill/>
          </a:ln>
          <a:effectLst/>
        </c:spPr>
        <c:marker>
          <c:symbol val="none"/>
        </c:marker>
      </c:pivotFmt>
      <c:pivotFmt>
        <c:idx val="11"/>
        <c:spPr>
          <a:solidFill>
            <a:schemeClr val="accent5"/>
          </a:solidFill>
          <a:ln>
            <a:noFill/>
          </a:ln>
          <a:effectLst/>
        </c:spPr>
        <c:marker>
          <c:symbol val="none"/>
        </c:marker>
      </c:pivotFmt>
      <c:pivotFmt>
        <c:idx val="12"/>
        <c:spPr>
          <a:solidFill>
            <a:schemeClr val="accent6"/>
          </a:solidFill>
          <a:ln>
            <a:noFill/>
          </a:ln>
          <a:effectLst/>
        </c:spPr>
        <c:marker>
          <c:symbol val="none"/>
        </c:marker>
      </c:pivotFmt>
      <c:pivotFmt>
        <c:idx val="13"/>
        <c:spPr>
          <a:solidFill>
            <a:srgbClr val="FF0000"/>
          </a:solidFill>
          <a:ln>
            <a:noFill/>
          </a:ln>
          <a:effectLst/>
        </c:spPr>
        <c:marker>
          <c:symbol val="none"/>
        </c:marker>
      </c:pivotFmt>
      <c:pivotFmt>
        <c:idx val="14"/>
        <c:spPr>
          <a:solidFill>
            <a:schemeClr val="accent4">
              <a:lumMod val="40000"/>
              <a:lumOff val="60000"/>
            </a:schemeClr>
          </a:solidFill>
          <a:ln>
            <a:noFill/>
          </a:ln>
          <a:effectLst/>
        </c:spPr>
        <c:marker>
          <c:symbol val="none"/>
        </c:marker>
      </c:pivotFmt>
      <c:pivotFmt>
        <c:idx val="15"/>
        <c:spPr>
          <a:solidFill>
            <a:schemeClr val="accent5"/>
          </a:solidFill>
          <a:ln>
            <a:noFill/>
          </a:ln>
          <a:effectLst/>
        </c:spPr>
        <c:marker>
          <c:symbol val="none"/>
        </c:marker>
      </c:pivotFmt>
    </c:pivotFmts>
    <c:plotArea>
      <c:layout>
        <c:manualLayout>
          <c:layoutTarget val="inner"/>
          <c:xMode val="edge"/>
          <c:yMode val="edge"/>
          <c:x val="3.7672115616648939E-2"/>
          <c:y val="0.1031578947368421"/>
          <c:w val="0.88138952693342387"/>
          <c:h val="0.73626108578532945"/>
        </c:manualLayout>
      </c:layout>
      <c:barChart>
        <c:barDir val="col"/>
        <c:grouping val="stacked"/>
        <c:varyColors val="0"/>
        <c:ser>
          <c:idx val="0"/>
          <c:order val="0"/>
          <c:tx>
            <c:strRef>
              <c:f>Pivot2!$B$4:$B$5</c:f>
              <c:strCache>
                <c:ptCount val="1"/>
                <c:pt idx="0">
                  <c:v>successful</c:v>
                </c:pt>
              </c:strCache>
            </c:strRef>
          </c:tx>
          <c:spPr>
            <a:solidFill>
              <a:schemeClr val="accent6"/>
            </a:solidFill>
            <a:ln>
              <a:noFill/>
            </a:ln>
            <a:effectLst/>
          </c:spPr>
          <c:invertIfNegative val="0"/>
          <c:cat>
            <c:strRef>
              <c:f>Pivot2!$A$6:$A$47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Pivot2!$B$6:$B$47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DF9B-644E-BF74-AF89629670D8}"/>
            </c:ext>
          </c:extLst>
        </c:ser>
        <c:ser>
          <c:idx val="1"/>
          <c:order val="1"/>
          <c:tx>
            <c:strRef>
              <c:f>Pivot2!$C$4:$C$5</c:f>
              <c:strCache>
                <c:ptCount val="1"/>
                <c:pt idx="0">
                  <c:v>failed</c:v>
                </c:pt>
              </c:strCache>
            </c:strRef>
          </c:tx>
          <c:spPr>
            <a:solidFill>
              <a:srgbClr val="FF0000"/>
            </a:solidFill>
            <a:ln>
              <a:noFill/>
            </a:ln>
            <a:effectLst/>
          </c:spPr>
          <c:invertIfNegative val="0"/>
          <c:cat>
            <c:strRef>
              <c:f>Pivot2!$A$6:$A$47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Pivot2!$C$6:$C$47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DF9B-644E-BF74-AF89629670D8}"/>
            </c:ext>
          </c:extLst>
        </c:ser>
        <c:ser>
          <c:idx val="2"/>
          <c:order val="2"/>
          <c:tx>
            <c:strRef>
              <c:f>Pivot2!$D$4:$D$5</c:f>
              <c:strCache>
                <c:ptCount val="1"/>
                <c:pt idx="0">
                  <c:v>canceled</c:v>
                </c:pt>
              </c:strCache>
            </c:strRef>
          </c:tx>
          <c:spPr>
            <a:solidFill>
              <a:schemeClr val="accent4">
                <a:lumMod val="40000"/>
                <a:lumOff val="60000"/>
              </a:schemeClr>
            </a:solidFill>
            <a:ln>
              <a:noFill/>
            </a:ln>
            <a:effectLst/>
          </c:spPr>
          <c:invertIfNegative val="0"/>
          <c:cat>
            <c:strRef>
              <c:f>Pivot2!$A$6:$A$47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Pivot2!$D$6:$D$47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2-DF9B-644E-BF74-AF89629670D8}"/>
            </c:ext>
          </c:extLst>
        </c:ser>
        <c:ser>
          <c:idx val="3"/>
          <c:order val="3"/>
          <c:tx>
            <c:strRef>
              <c:f>Pivot2!$E$4:$E$5</c:f>
              <c:strCache>
                <c:ptCount val="1"/>
                <c:pt idx="0">
                  <c:v>live</c:v>
                </c:pt>
              </c:strCache>
            </c:strRef>
          </c:tx>
          <c:spPr>
            <a:solidFill>
              <a:schemeClr val="accent5"/>
            </a:solidFill>
            <a:ln>
              <a:noFill/>
            </a:ln>
            <a:effectLst/>
          </c:spPr>
          <c:invertIfNegative val="0"/>
          <c:cat>
            <c:strRef>
              <c:f>Pivot2!$A$6:$A$47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Pivot2!$E$6:$E$47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3-DF9B-644E-BF74-AF89629670D8}"/>
            </c:ext>
          </c:extLst>
        </c:ser>
        <c:dLbls>
          <c:showLegendKey val="0"/>
          <c:showVal val="0"/>
          <c:showCatName val="0"/>
          <c:showSerName val="0"/>
          <c:showPercent val="0"/>
          <c:showBubbleSize val="0"/>
        </c:dLbls>
        <c:gapWidth val="219"/>
        <c:overlap val="100"/>
        <c:axId val="1036963551"/>
        <c:axId val="1042014543"/>
      </c:barChart>
      <c:catAx>
        <c:axId val="10369635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2014543"/>
        <c:crosses val="autoZero"/>
        <c:auto val="1"/>
        <c:lblAlgn val="ctr"/>
        <c:lblOffset val="100"/>
        <c:noMultiLvlLbl val="0"/>
      </c:catAx>
      <c:valAx>
        <c:axId val="1042014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0"/>
              <a:lstStyle/>
              <a:p>
                <a:pPr>
                  <a:defRPr sz="1100" b="1" i="0" u="none" strike="noStrike" kern="1200" baseline="0">
                    <a:solidFill>
                      <a:schemeClr val="tx1">
                        <a:lumMod val="65000"/>
                        <a:lumOff val="35000"/>
                      </a:schemeClr>
                    </a:solidFill>
                    <a:latin typeface="+mn-lt"/>
                    <a:ea typeface="+mn-ea"/>
                    <a:cs typeface="+mn-cs"/>
                  </a:defRPr>
                </a:pPr>
                <a:r>
                  <a:rPr lang="en-US" sz="1100" b="1"/>
                  <a:t>Count of outcome</a:t>
                </a:r>
              </a:p>
            </c:rich>
          </c:tx>
          <c:layout>
            <c:manualLayout>
              <c:xMode val="edge"/>
              <c:yMode val="edge"/>
              <c:x val="1.362088535754824E-2"/>
              <c:y val="4.7357811852465813E-2"/>
            </c:manualLayout>
          </c:layout>
          <c:overlay val="0"/>
          <c:spPr>
            <a:noFill/>
            <a:ln>
              <a:noFill/>
            </a:ln>
            <a:effectLst/>
          </c:spPr>
          <c:txPr>
            <a:bodyPr rot="0" spcFirstLastPara="1" vertOverflow="ellipsis" wrap="square" anchor="ctr" anchorCtr="0"/>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6963551"/>
        <c:crosses val="autoZero"/>
        <c:crossBetween val="between"/>
      </c:valAx>
      <c:spPr>
        <a:noFill/>
        <a:ln>
          <a:noFill/>
        </a:ln>
        <a:effectLst/>
      </c:spPr>
    </c:plotArea>
    <c:legend>
      <c:legendPos val="r"/>
      <c:layout>
        <c:manualLayout>
          <c:xMode val="edge"/>
          <c:yMode val="edge"/>
          <c:x val="0.86579766471498776"/>
          <c:y val="0.1720640729661953"/>
          <c:w val="0.11283481391749109"/>
          <c:h val="0.270923028059180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[StarterBook.xlsx]Pivot3!PivotTable3</c:name>
    <c:fmtId val="-1"/>
  </c:pivotSource>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Outcomes by month</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6"/>
            </a:solidFill>
            <a:round/>
          </a:ln>
          <a:effectLst/>
        </c:spPr>
        <c:marker>
          <c:symbol val="circle"/>
          <c:size val="5"/>
          <c:spPr>
            <a:solidFill>
              <a:schemeClr val="accent6"/>
            </a:solidFill>
            <a:ln w="9525">
              <a:solidFill>
                <a:schemeClr val="accent6"/>
              </a:solidFill>
            </a:ln>
            <a:effectLst/>
          </c:spPr>
        </c:marker>
      </c:pivotFmt>
      <c:pivotFmt>
        <c:idx val="1"/>
        <c:spPr>
          <a:solidFill>
            <a:schemeClr val="accent1"/>
          </a:solidFill>
          <a:ln w="28575" cap="rnd">
            <a:solidFill>
              <a:srgbClr val="FF0000"/>
            </a:solidFill>
            <a:round/>
          </a:ln>
          <a:effectLst/>
        </c:spPr>
        <c:marker>
          <c:symbol val="circle"/>
          <c:size val="5"/>
          <c:spPr>
            <a:solidFill>
              <a:srgbClr val="FF0000"/>
            </a:solidFill>
            <a:ln w="9525">
              <a:solidFill>
                <a:srgbClr val="FF0000"/>
              </a:solidFill>
            </a:ln>
            <a:effectLst/>
          </c:spPr>
        </c:marker>
      </c:pivotFmt>
      <c:pivotFmt>
        <c:idx val="2"/>
        <c:spPr>
          <a:solidFill>
            <a:schemeClr val="accent1"/>
          </a:solidFill>
          <a:ln w="28575" cap="rnd">
            <a:solidFill>
              <a:schemeClr val="accent4">
                <a:lumMod val="40000"/>
                <a:lumOff val="60000"/>
              </a:schemeClr>
            </a:solidFill>
            <a:round/>
          </a:ln>
          <a:effectLst/>
        </c:spPr>
        <c:marker>
          <c:symbol val="circle"/>
          <c:size val="5"/>
          <c:spPr>
            <a:solidFill>
              <a:schemeClr val="accent4">
                <a:lumMod val="40000"/>
                <a:lumOff val="60000"/>
              </a:schemeClr>
            </a:solidFill>
            <a:ln w="9525">
              <a:solidFill>
                <a:schemeClr val="accent4">
                  <a:lumMod val="40000"/>
                  <a:lumOff val="60000"/>
                </a:schemeClr>
              </a:solidFill>
            </a:ln>
            <a:effectLst/>
          </c:spPr>
        </c:marker>
      </c:pivotFmt>
      <c:pivotFmt>
        <c:idx val="3"/>
        <c:spPr>
          <a:solidFill>
            <a:schemeClr val="accent1"/>
          </a:solidFill>
          <a:ln w="28575" cap="rnd">
            <a:solidFill>
              <a:schemeClr val="accent6"/>
            </a:solidFill>
            <a:round/>
          </a:ln>
          <a:effectLst/>
        </c:spPr>
        <c:marker>
          <c:symbol val="circle"/>
          <c:size val="5"/>
          <c:spPr>
            <a:solidFill>
              <a:schemeClr val="accent6"/>
            </a:solidFill>
            <a:ln w="9525">
              <a:solidFill>
                <a:schemeClr val="accent6"/>
              </a:solidFill>
            </a:ln>
            <a:effectLst/>
          </c:spPr>
        </c:marker>
      </c:pivotFmt>
      <c:pivotFmt>
        <c:idx val="4"/>
        <c:spPr>
          <a:solidFill>
            <a:schemeClr val="accent1"/>
          </a:solidFill>
          <a:ln w="28575" cap="rnd">
            <a:solidFill>
              <a:schemeClr val="accent6"/>
            </a:solidFill>
            <a:round/>
          </a:ln>
          <a:effectLst/>
        </c:spPr>
        <c:marker>
          <c:symbol val="circle"/>
          <c:size val="5"/>
          <c:spPr>
            <a:solidFill>
              <a:schemeClr val="accent6"/>
            </a:solidFill>
            <a:ln w="9525">
              <a:solidFill>
                <a:schemeClr val="accent6"/>
              </a:solidFill>
            </a:ln>
            <a:effectLst/>
          </c:spPr>
        </c:marker>
      </c:pivotFmt>
      <c:pivotFmt>
        <c:idx val="5"/>
        <c:spPr>
          <a:solidFill>
            <a:schemeClr val="accent1"/>
          </a:solidFill>
          <a:ln w="28575" cap="rnd">
            <a:solidFill>
              <a:srgbClr val="FF0000"/>
            </a:solidFill>
            <a:round/>
          </a:ln>
          <a:effectLst/>
        </c:spPr>
        <c:marker>
          <c:symbol val="circle"/>
          <c:size val="5"/>
          <c:spPr>
            <a:solidFill>
              <a:srgbClr val="FF0000"/>
            </a:solidFill>
            <a:ln w="9525">
              <a:solidFill>
                <a:srgbClr val="FF0000"/>
              </a:solidFill>
            </a:ln>
            <a:effectLst/>
          </c:spPr>
        </c:marker>
      </c:pivotFmt>
      <c:pivotFmt>
        <c:idx val="6"/>
        <c:spPr>
          <a:solidFill>
            <a:schemeClr val="accent1"/>
          </a:solidFill>
          <a:ln w="28575" cap="rnd">
            <a:solidFill>
              <a:schemeClr val="accent4">
                <a:lumMod val="40000"/>
                <a:lumOff val="60000"/>
              </a:schemeClr>
            </a:solidFill>
            <a:round/>
          </a:ln>
          <a:effectLst/>
        </c:spPr>
        <c:marker>
          <c:symbol val="circle"/>
          <c:size val="5"/>
          <c:spPr>
            <a:solidFill>
              <a:schemeClr val="accent4">
                <a:lumMod val="40000"/>
                <a:lumOff val="60000"/>
              </a:schemeClr>
            </a:solidFill>
            <a:ln w="9525">
              <a:solidFill>
                <a:schemeClr val="accent4">
                  <a:lumMod val="40000"/>
                  <a:lumOff val="60000"/>
                </a:schemeClr>
              </a:solidFill>
            </a:ln>
            <a:effectLst/>
          </c:spPr>
        </c:marker>
      </c:pivotFmt>
      <c:pivotFmt>
        <c:idx val="7"/>
        <c:spPr>
          <a:solidFill>
            <a:schemeClr val="accent1"/>
          </a:solidFill>
          <a:ln w="28575" cap="rnd">
            <a:solidFill>
              <a:schemeClr val="accent6"/>
            </a:solidFill>
            <a:round/>
          </a:ln>
          <a:effectLst/>
        </c:spPr>
        <c:marker>
          <c:symbol val="circle"/>
          <c:size val="5"/>
          <c:spPr>
            <a:solidFill>
              <a:schemeClr val="accent6"/>
            </a:solidFill>
            <a:ln w="9525">
              <a:solidFill>
                <a:schemeClr val="accent6"/>
              </a:solidFill>
            </a:ln>
            <a:effectLst/>
          </c:spPr>
        </c:marker>
      </c:pivotFmt>
      <c:pivotFmt>
        <c:idx val="8"/>
        <c:spPr>
          <a:solidFill>
            <a:schemeClr val="accent1"/>
          </a:solidFill>
          <a:ln w="28575" cap="rnd">
            <a:solidFill>
              <a:srgbClr val="FF0000"/>
            </a:solidFill>
            <a:round/>
          </a:ln>
          <a:effectLst/>
        </c:spPr>
        <c:marker>
          <c:symbol val="circle"/>
          <c:size val="5"/>
          <c:spPr>
            <a:solidFill>
              <a:srgbClr val="FF0000"/>
            </a:solidFill>
            <a:ln w="9525">
              <a:solidFill>
                <a:srgbClr val="FF0000"/>
              </a:solidFill>
            </a:ln>
            <a:effectLst/>
          </c:spPr>
        </c:marker>
      </c:pivotFmt>
      <c:pivotFmt>
        <c:idx val="9"/>
        <c:spPr>
          <a:solidFill>
            <a:schemeClr val="accent1"/>
          </a:solidFill>
          <a:ln w="28575" cap="rnd">
            <a:solidFill>
              <a:schemeClr val="accent4">
                <a:lumMod val="40000"/>
                <a:lumOff val="60000"/>
              </a:schemeClr>
            </a:solidFill>
            <a:round/>
          </a:ln>
          <a:effectLst/>
        </c:spPr>
        <c:marker>
          <c:symbol val="circle"/>
          <c:size val="5"/>
          <c:spPr>
            <a:solidFill>
              <a:schemeClr val="accent4">
                <a:lumMod val="40000"/>
                <a:lumOff val="60000"/>
              </a:schemeClr>
            </a:solidFill>
            <a:ln w="9525">
              <a:solidFill>
                <a:schemeClr val="accent4">
                  <a:lumMod val="40000"/>
                  <a:lumOff val="60000"/>
                </a:schemeClr>
              </a:solidFill>
            </a:ln>
            <a:effectLst/>
          </c:spPr>
        </c:marker>
      </c:pivotFmt>
    </c:pivotFmts>
    <c:plotArea>
      <c:layout>
        <c:manualLayout>
          <c:layoutTarget val="inner"/>
          <c:xMode val="edge"/>
          <c:yMode val="edge"/>
          <c:x val="6.7905331392288618E-2"/>
          <c:y val="0.16031511006568941"/>
          <c:w val="0.75282256037708117"/>
          <c:h val="0.7513258297701455"/>
        </c:manualLayout>
      </c:layout>
      <c:lineChart>
        <c:grouping val="standard"/>
        <c:varyColors val="0"/>
        <c:ser>
          <c:idx val="0"/>
          <c:order val="0"/>
          <c:tx>
            <c:strRef>
              <c:f>Pivot3!$B$4:$B$5</c:f>
              <c:strCache>
                <c:ptCount val="1"/>
                <c:pt idx="0">
                  <c:v>successful</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Pivot3!$A$6:$A$18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Pivot3!$B$6:$B$18</c:f>
              <c:numCache>
                <c:formatCode>General</c:formatCode>
                <c:ptCount val="12"/>
                <c:pt idx="0">
                  <c:v>183</c:v>
                </c:pt>
                <c:pt idx="1">
                  <c:v>202</c:v>
                </c:pt>
                <c:pt idx="2">
                  <c:v>179</c:v>
                </c:pt>
                <c:pt idx="3">
                  <c:v>193</c:v>
                </c:pt>
                <c:pt idx="4">
                  <c:v>233</c:v>
                </c:pt>
                <c:pt idx="5">
                  <c:v>213</c:v>
                </c:pt>
                <c:pt idx="6">
                  <c:v>192</c:v>
                </c:pt>
                <c:pt idx="7">
                  <c:v>167</c:v>
                </c:pt>
                <c:pt idx="8">
                  <c:v>148</c:v>
                </c:pt>
                <c:pt idx="9">
                  <c:v>184</c:v>
                </c:pt>
                <c:pt idx="10">
                  <c:v>180</c:v>
                </c:pt>
                <c:pt idx="11">
                  <c:v>111</c:v>
                </c:pt>
              </c:numCache>
            </c:numRef>
          </c:val>
          <c:smooth val="0"/>
          <c:extLst>
            <c:ext xmlns:c16="http://schemas.microsoft.com/office/drawing/2014/chart" uri="{C3380CC4-5D6E-409C-BE32-E72D297353CC}">
              <c16:uniqueId val="{00000000-C88A-FA4D-8E60-A9B28D5F298E}"/>
            </c:ext>
          </c:extLst>
        </c:ser>
        <c:ser>
          <c:idx val="1"/>
          <c:order val="1"/>
          <c:tx>
            <c:strRef>
              <c:f>Pivot3!$C$4:$C$5</c:f>
              <c:strCache>
                <c:ptCount val="1"/>
                <c:pt idx="0">
                  <c:v>failed</c:v>
                </c:pt>
              </c:strCache>
            </c:strRef>
          </c:tx>
          <c:spPr>
            <a:ln w="28575" cap="rnd">
              <a:solidFill>
                <a:srgbClr val="FF0000"/>
              </a:solidFill>
              <a:round/>
            </a:ln>
            <a:effectLst/>
          </c:spPr>
          <c:marker>
            <c:symbol val="circle"/>
            <c:size val="5"/>
            <c:spPr>
              <a:solidFill>
                <a:srgbClr val="FF0000"/>
              </a:solidFill>
              <a:ln w="9525">
                <a:solidFill>
                  <a:srgbClr val="FF0000"/>
                </a:solidFill>
              </a:ln>
              <a:effectLst/>
            </c:spPr>
          </c:marker>
          <c:cat>
            <c:strRef>
              <c:f>Pivot3!$A$6:$A$18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Pivot3!$C$6:$C$18</c:f>
              <c:numCache>
                <c:formatCode>General</c:formatCode>
                <c:ptCount val="12"/>
                <c:pt idx="0">
                  <c:v>149</c:v>
                </c:pt>
                <c:pt idx="1">
                  <c:v>105</c:v>
                </c:pt>
                <c:pt idx="2">
                  <c:v>108</c:v>
                </c:pt>
                <c:pt idx="3">
                  <c:v>103</c:v>
                </c:pt>
                <c:pt idx="4">
                  <c:v>126</c:v>
                </c:pt>
                <c:pt idx="5">
                  <c:v>148</c:v>
                </c:pt>
                <c:pt idx="6">
                  <c:v>148</c:v>
                </c:pt>
                <c:pt idx="7">
                  <c:v>134</c:v>
                </c:pt>
                <c:pt idx="8">
                  <c:v>127</c:v>
                </c:pt>
                <c:pt idx="9">
                  <c:v>150</c:v>
                </c:pt>
                <c:pt idx="10">
                  <c:v>113</c:v>
                </c:pt>
                <c:pt idx="11">
                  <c:v>119</c:v>
                </c:pt>
              </c:numCache>
            </c:numRef>
          </c:val>
          <c:smooth val="0"/>
          <c:extLst>
            <c:ext xmlns:c16="http://schemas.microsoft.com/office/drawing/2014/chart" uri="{C3380CC4-5D6E-409C-BE32-E72D297353CC}">
              <c16:uniqueId val="{00000001-C88A-FA4D-8E60-A9B28D5F298E}"/>
            </c:ext>
          </c:extLst>
        </c:ser>
        <c:ser>
          <c:idx val="2"/>
          <c:order val="2"/>
          <c:tx>
            <c:strRef>
              <c:f>Pivot3!$D$4:$D$5</c:f>
              <c:strCache>
                <c:ptCount val="1"/>
                <c:pt idx="0">
                  <c:v>canceled</c:v>
                </c:pt>
              </c:strCache>
            </c:strRef>
          </c:tx>
          <c:spPr>
            <a:ln w="28575" cap="rnd">
              <a:solidFill>
                <a:schemeClr val="accent4">
                  <a:lumMod val="40000"/>
                  <a:lumOff val="60000"/>
                </a:schemeClr>
              </a:solidFill>
              <a:round/>
            </a:ln>
            <a:effectLst/>
          </c:spPr>
          <c:marker>
            <c:symbol val="circle"/>
            <c:size val="5"/>
            <c:spPr>
              <a:solidFill>
                <a:schemeClr val="accent4">
                  <a:lumMod val="40000"/>
                  <a:lumOff val="60000"/>
                </a:schemeClr>
              </a:solidFill>
              <a:ln w="9525">
                <a:solidFill>
                  <a:schemeClr val="accent4">
                    <a:lumMod val="40000"/>
                    <a:lumOff val="60000"/>
                  </a:schemeClr>
                </a:solidFill>
              </a:ln>
              <a:effectLst/>
            </c:spPr>
          </c:marker>
          <c:cat>
            <c:strRef>
              <c:f>Pivot3!$A$6:$A$18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Pivot3!$D$6:$D$18</c:f>
              <c:numCache>
                <c:formatCode>General</c:formatCode>
                <c:ptCount val="12"/>
                <c:pt idx="0">
                  <c:v>34</c:v>
                </c:pt>
                <c:pt idx="1">
                  <c:v>27</c:v>
                </c:pt>
                <c:pt idx="2">
                  <c:v>28</c:v>
                </c:pt>
                <c:pt idx="3">
                  <c:v>27</c:v>
                </c:pt>
                <c:pt idx="4">
                  <c:v>26</c:v>
                </c:pt>
                <c:pt idx="5">
                  <c:v>27</c:v>
                </c:pt>
                <c:pt idx="6">
                  <c:v>44</c:v>
                </c:pt>
                <c:pt idx="7">
                  <c:v>32</c:v>
                </c:pt>
                <c:pt idx="8">
                  <c:v>24</c:v>
                </c:pt>
                <c:pt idx="9">
                  <c:v>20</c:v>
                </c:pt>
                <c:pt idx="10">
                  <c:v>37</c:v>
                </c:pt>
                <c:pt idx="11">
                  <c:v>23</c:v>
                </c:pt>
              </c:numCache>
            </c:numRef>
          </c:val>
          <c:smooth val="0"/>
          <c:extLst>
            <c:ext xmlns:c16="http://schemas.microsoft.com/office/drawing/2014/chart" uri="{C3380CC4-5D6E-409C-BE32-E72D297353CC}">
              <c16:uniqueId val="{00000002-C88A-FA4D-8E60-A9B28D5F298E}"/>
            </c:ext>
          </c:extLst>
        </c:ser>
        <c:dLbls>
          <c:showLegendKey val="0"/>
          <c:showVal val="0"/>
          <c:showCatName val="0"/>
          <c:showSerName val="0"/>
          <c:showPercent val="0"/>
          <c:showBubbleSize val="0"/>
        </c:dLbls>
        <c:marker val="1"/>
        <c:smooth val="0"/>
        <c:axId val="601227215"/>
        <c:axId val="608947743"/>
      </c:lineChart>
      <c:catAx>
        <c:axId val="6012272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947743"/>
        <c:crosses val="autoZero"/>
        <c:auto val="1"/>
        <c:lblAlgn val="ctr"/>
        <c:lblOffset val="100"/>
        <c:noMultiLvlLbl val="0"/>
      </c:catAx>
      <c:valAx>
        <c:axId val="6089477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000" b="1"/>
                  <a:t>Count of outcome</a:t>
                </a:r>
              </a:p>
            </c:rich>
          </c:tx>
          <c:layout>
            <c:manualLayout>
              <c:xMode val="edge"/>
              <c:yMode val="edge"/>
              <c:x val="1.6862430826572079E-2"/>
              <c:y val="7.4714927480118168E-2"/>
            </c:manualLayout>
          </c:layout>
          <c:overlay val="0"/>
          <c:spPr>
            <a:noFill/>
            <a:ln>
              <a:noFill/>
            </a:ln>
            <a:effectLst/>
          </c:spPr>
          <c:txPr>
            <a:bodyPr rot="0" spcFirstLastPara="1" vertOverflow="ellipsis"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227215"/>
        <c:crosses val="autoZero"/>
        <c:crossBetween val="between"/>
      </c:valAx>
      <c:spPr>
        <a:noFill/>
        <a:ln>
          <a:noFill/>
        </a:ln>
        <a:effectLst/>
      </c:spPr>
    </c:plotArea>
    <c:legend>
      <c:legendPos val="r"/>
      <c:layout>
        <c:manualLayout>
          <c:xMode val="edge"/>
          <c:yMode val="edge"/>
          <c:x val="0.83518140390643147"/>
          <c:y val="0.44803674024773216"/>
          <c:w val="0.12869328044227543"/>
          <c:h val="0.1956817672651782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Jianyuan Zhang</dc:creator>
  <cp:keywords/>
  <dc:description/>
  <cp:lastModifiedBy>Jianyuan Zhang</cp:lastModifiedBy>
  <cp:revision>2</cp:revision>
  <dcterms:created xsi:type="dcterms:W3CDTF">2018-08-11T14:04:00Z</dcterms:created>
  <dcterms:modified xsi:type="dcterms:W3CDTF">2018-08-11T22:54:00Z</dcterms:modified>
</cp:coreProperties>
</file>