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review of biomarkers</w:t>
      </w:r>
    </w:p>
    <w:p>
      <w:pPr>
        <w:pStyle w:val="Heading1"/>
      </w:pPr>
      <w:r>
        <w:t>Introduction</w:t>
      </w:r>
    </w:p>
    <w:p>
      <w:r>
        <w:t>Recent work (Smith &amp; Jones, 2020) established the baseline for this field.</w:t>
      </w:r>
    </w:p>
    <w:p>
      <w:r>
        <w:t>These findings were confirmed (Ip et al., 2025a) and later extended (Ip et al., 2025b) in follow-up cohorts.</w:t>
      </w:r>
    </w:p>
    <w:p>
      <w:r>
        <w:t>Earlier analyses (Anders, 2019; Zed, 2021) had already hinted at the mechanism, and Smith &amp; Jones (2020) remains the key reference.</w:t>
      </w:r>
    </w:p>
    <w:p>
      <w:r>
        <w:t>A citation with no matching reference (Nobody, 1999) also appears here.</w:t>
      </w:r>
    </w:p>
    <w:p>
      <w:pPr>
        <w:pStyle w:val="Heading1"/>
      </w:pPr>
      <w:r>
        <w:t>References</w:t>
      </w:r>
    </w:p>
    <w:p>
      <w:r>
        <w:t>Anders K, et al. Alpha mechanisms in disease. J Alpha. 2019. doi:10.1/a</w:t>
      </w:r>
    </w:p>
    <w:p>
      <w:r>
        <w:t>Ip J, et al. First Ip paper on biomarkers. J Bravo. 2025. doi:10.1/b</w:t>
      </w:r>
    </w:p>
    <w:p>
      <w:r>
        <w:t>Ip J, et al. Second Ip paper on outcomes. J Charlie. 2025. doi:10.1/c</w:t>
      </w:r>
    </w:p>
    <w:p>
      <w:r>
        <w:t>Smith A, Jones B. Beta trial results. J Delta. 2020. doi:10.1/d</w:t>
      </w:r>
    </w:p>
    <w:p>
      <w:r>
        <w:t>Zed Y. Gamma cohort analysis. J Echo. 2021. doi:10.1/e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