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Contemporary pharmacological management of chronic heart failure</w:t>
      </w:r>
      <w:r>
        <w:rPr>
          <w:vertAlign w:val="superscript"/>
        </w:rPr>
        <w:footnoteReference w:id="2"/>
      </w:r>
    </w:p>
    <w:p>
      <w:pPr>
        <w:pStyle w:val="Subtitle"/>
      </w:pPr>
      <w:r>
        <w:t>A narrative review</w:t>
      </w:r>
    </w:p>
    <w:p>
      <w:pPr>
        <w:pStyle w:val="Heading1"/>
      </w:pPr>
      <w:r>
        <w:t>Introduction</w:t>
      </w:r>
    </w:p>
    <w:p>
      <w:r>
        <w:t>Beta-blockers remain a cornerstone of therapy for heart failure with reduced ejection fraction</w:t>
      </w:r>
      <w:r>
        <w:rPr>
          <w:vertAlign w:val="superscript"/>
        </w:rPr>
        <w:t>1</w:t>
      </w:r>
      <w:r>
        <w:t xml:space="preserve"> and have consistently reduced mortality across landmark trials</w:t>
      </w:r>
      <w:r>
        <w:rPr>
          <w:vertAlign w:val="superscript"/>
        </w:rPr>
        <w:t>2,3</w:t>
      </w:r>
      <w:r>
        <w:t>. Guideline bodies continue to recommend early initiation</w:t>
      </w:r>
      <w:r>
        <w:rPr>
          <w:vertAlign w:val="superscript"/>
        </w:rPr>
        <w:t>4-6</w:t>
      </w:r>
      <w:r>
        <w:t>.</w:t>
      </w:r>
    </w:p>
    <w:p>
      <w:r>
        <w:t>Renin-angiotensin blockade has evolved from ACE inhibition toward angiotensin-neprilysin inhibition</w:t>
      </w:r>
      <w:r>
        <w:rPr>
          <w:vertAlign w:val="superscript"/>
        </w:rPr>
        <w:t>7,8</w:t>
      </w:r>
      <w:r>
        <w:t>, while mineralocorticoid antagonists add further benefit in selected patients</w:t>
      </w:r>
      <w:r>
        <w:rPr>
          <w:vertAlign w:val="superscript"/>
        </w:rPr>
        <w:t>9,10</w:t>
      </w:r>
      <w:r>
        <w:t>.</w:t>
      </w:r>
    </w:p>
    <w:p>
      <w:pPr>
        <w:pStyle w:val="Heading1"/>
      </w:pPr>
      <w:r>
        <w:t>Emerging therapies</w:t>
      </w:r>
    </w:p>
    <w:p>
      <w:r>
        <w:t>Rate control with ivabradine</w:t>
      </w:r>
      <w:r>
        <w:rPr>
          <w:vertAlign w:val="superscript"/>
        </w:rPr>
        <w:t>11</w:t>
      </w:r>
      <w:r>
        <w:t xml:space="preserve"> and the historical role of digoxin</w:t>
      </w:r>
      <w:r>
        <w:rPr>
          <w:vertAlign w:val="superscript"/>
        </w:rPr>
        <w:t>12</w:t>
      </w:r>
      <w:r>
        <w:t xml:space="preserve"> illustrate the breadth of options. Most strikingly, SGLT2 inhibitors</w:t>
      </w:r>
      <w:r>
        <w:rPr>
          <w:vertAlign w:val="superscript"/>
        </w:rPr>
        <w:t>13</w:t>
      </w:r>
      <w:r>
        <w:t xml:space="preserve"> have extended benefit to preserved ejection fraction</w:t>
      </w:r>
      <w:r>
        <w:rPr>
          <w:vertAlign w:val="superscript"/>
        </w:rPr>
        <w:t>14-16</w:t>
      </w:r>
      <w:r>
        <w:t>.</w:t>
      </w:r>
    </w:p>
    <w:p>
      <w:r>
        <w:t>Device therapy, including resynchronisation</w:t>
      </w:r>
      <w:r>
        <w:rPr>
          <w:vertAlign w:val="superscript"/>
        </w:rPr>
        <w:t>17,18</w:t>
      </w:r>
      <w:r>
        <w:t xml:space="preserve"> and defibrillator implantation</w:t>
      </w:r>
      <w:r>
        <w:rPr>
          <w:vertAlign w:val="superscript"/>
        </w:rPr>
        <w:t>19,20</w:t>
      </w:r>
      <w:r>
        <w:t>, remains important in appropriately selected patients.</w:t>
      </w:r>
    </w:p>
    <w:p>
      <w:pPr>
        <w:pStyle w:val="Heading1"/>
      </w:pPr>
      <w:r>
        <w:t>Summary of pivotal trials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 class</w:t>
            </w:r>
          </w:p>
        </w:tc>
        <w:tc>
          <w:tcPr>
            <w:tcW w:type="dxa" w:w="2880"/>
          </w:tcPr>
          <w:p>
            <w:r>
              <w:t>Landmark trial</w:t>
            </w:r>
          </w:p>
        </w:tc>
        <w:tc>
          <w:tcPr>
            <w:tcW w:type="dxa" w:w="2880"/>
          </w:tcPr>
          <w:p>
            <w:r>
              <w:t>Mortality effect</w:t>
            </w:r>
          </w:p>
        </w:tc>
      </w:tr>
      <w:tr>
        <w:tc>
          <w:tcPr>
            <w:tcW w:type="dxa" w:w="2880"/>
          </w:tcPr>
          <w:p>
            <w:r>
              <w:t>Beta-blocker</w:t>
            </w:r>
          </w:p>
        </w:tc>
        <w:tc>
          <w:tcPr>
            <w:tcW w:type="dxa" w:w="2880"/>
          </w:tcPr>
          <w:p>
            <w:r>
              <w:t>CIBIS-II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2880"/>
          </w:tcPr>
          <w:p>
            <w:r>
              <w:t>Reduced</w:t>
            </w:r>
            <w:r>
              <w:rPr>
                <w:vertAlign w:val="superscript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t>ARNI</w:t>
            </w:r>
          </w:p>
        </w:tc>
        <w:tc>
          <w:tcPr>
            <w:tcW w:type="dxa" w:w="2880"/>
          </w:tcPr>
          <w:p>
            <w:r>
              <w:t>PARADIGM-HF</w:t>
            </w:r>
            <w:r>
              <w:rPr>
                <w:vertAlign w:val="superscript"/>
              </w:rPr>
              <w:t>7</w:t>
            </w:r>
          </w:p>
        </w:tc>
        <w:tc>
          <w:tcPr>
            <w:tcW w:type="dxa" w:w="2880"/>
          </w:tcPr>
          <w:p>
            <w:r>
              <w:t>Reduced</w:t>
            </w:r>
            <w:r>
              <w:rPr>
                <w:vertAlign w:val="superscript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t>SGLT2 inhibitor</w:t>
            </w:r>
          </w:p>
        </w:tc>
        <w:tc>
          <w:tcPr>
            <w:tcW w:type="dxa" w:w="2880"/>
          </w:tcPr>
          <w:p>
            <w:r>
              <w:t>DAPA-HF</w:t>
            </w:r>
            <w:r>
              <w:rPr>
                <w:vertAlign w:val="superscript"/>
              </w:rPr>
              <w:t>13</w:t>
            </w:r>
          </w:p>
        </w:tc>
        <w:tc>
          <w:tcPr>
            <w:tcW w:type="dxa" w:w="2880"/>
          </w:tcPr>
          <w:p>
            <w:r>
              <w:t>Reduced</w:t>
            </w:r>
            <w:r>
              <w:rPr>
                <w:vertAlign w:val="superscript"/>
              </w:rPr>
              <w:t>14-16</w:t>
            </w:r>
          </w:p>
        </w:tc>
      </w:tr>
    </w:tbl>
    <w:p>
      <w:r>
        <w:t>Figure 1. Kaplan-Meier estimates of survival by treatment group, adapted from the pivotal SGLT2 inhibitor trials.</w:t>
      </w:r>
      <w:r>
        <w:rPr>
          <w:vertAlign w:val="superscript"/>
        </w:rPr>
        <w:t>13,14</w:t>
      </w:r>
    </w:p>
    <w:p>
      <w:pPr>
        <w:pStyle w:val="Heading1"/>
      </w:pPr>
      <w:r>
        <w:t>References</w:t>
      </w:r>
    </w:p>
    <w:p>
      <w:pPr>
        <w:spacing w:after="80"/>
      </w:pPr>
      <w:r>
        <w:rPr>
          <w:b/>
        </w:rPr>
        <w:t xml:space="preserve">1. </w:t>
      </w:r>
      <w:r>
        <w:t>Packer M, et al. The effect of carvedilol on morbidity and mortality in chronic heart failure. N Engl J Med. 1996;334(21):1349-55.</w:t>
      </w:r>
    </w:p>
    <w:p>
      <w:pPr>
        <w:spacing w:after="80"/>
      </w:pPr>
      <w:r>
        <w:rPr>
          <w:b/>
        </w:rPr>
        <w:t xml:space="preserve">2. </w:t>
      </w:r>
      <w:r>
        <w:t>CIBIS-II Investigators. The Cardiac Insufficiency Bisoprolol Study II. Lancet. 1999;353(9146):9-13.</w:t>
      </w:r>
    </w:p>
    <w:p>
      <w:pPr>
        <w:spacing w:after="80"/>
      </w:pPr>
      <w:r>
        <w:rPr>
          <w:b/>
        </w:rPr>
        <w:t xml:space="preserve">3. </w:t>
      </w:r>
      <w:r>
        <w:t>MERIT-HF Study Group. Effect of metoprolol CR/XL in chronic heart failure. Lancet. 1999;353(9169):2001-7.</w:t>
      </w:r>
    </w:p>
    <w:p>
      <w:pPr>
        <w:spacing w:after="80"/>
      </w:pPr>
      <w:r>
        <w:rPr>
          <w:b/>
        </w:rPr>
        <w:t xml:space="preserve">4. </w:t>
      </w:r>
      <w:r>
        <w:t>Flather MD, et al. Randomised trial to determine the effect of nebivolol. Eur Heart J. 2005;26(3):215-25.</w:t>
      </w:r>
    </w:p>
    <w:p>
      <w:pPr>
        <w:spacing w:after="80"/>
      </w:pPr>
      <w:r>
        <w:rPr>
          <w:b/>
        </w:rPr>
        <w:t xml:space="preserve">5. </w:t>
      </w:r>
      <w:r>
        <w:t>Yancy CW, et al. 2013 ACCF/AHA guideline for the management of heart failure. Circulation. 2013;128(16):e240-327.</w:t>
      </w:r>
    </w:p>
    <w:p>
      <w:pPr>
        <w:spacing w:after="80"/>
      </w:pPr>
      <w:r>
        <w:rPr>
          <w:b/>
        </w:rPr>
        <w:t xml:space="preserve">6. </w:t>
      </w:r>
      <w:r>
        <w:t>Ponikowski P, et al. 2016 ESC guidelines for heart failure. Eur Heart J. 2016;37(27):2129-200.</w:t>
      </w:r>
    </w:p>
    <w:p>
      <w:pPr>
        <w:spacing w:after="80"/>
      </w:pPr>
      <w:r>
        <w:rPr>
          <w:b/>
        </w:rPr>
        <w:t xml:space="preserve">7. </w:t>
      </w:r>
      <w:r>
        <w:t>McMurray JJV, et al. Angiotensin-neprilysin inhibition versus enalapril. N Engl J Med. 2014;371(11):993-1004.</w:t>
      </w:r>
    </w:p>
    <w:p>
      <w:pPr>
        <w:spacing w:after="80"/>
      </w:pPr>
      <w:r>
        <w:rPr>
          <w:b/>
        </w:rPr>
        <w:t xml:space="preserve">8. </w:t>
      </w:r>
      <w:r>
        <w:t>Solomon SD, et al. Angiotensin-neprilysin inhibition in HFpEF. N Engl J Med. 2019;381(17):1609-20.</w:t>
      </w:r>
    </w:p>
    <w:p>
      <w:pPr>
        <w:spacing w:after="80"/>
      </w:pPr>
      <w:r>
        <w:rPr>
          <w:b/>
        </w:rPr>
        <w:t xml:space="preserve">9. </w:t>
      </w:r>
      <w:r>
        <w:t>Zannad F, et al. Eplerenone in patients with systolic heart failure. N Engl J Med. 2011;364(1):11-21.</w:t>
      </w:r>
    </w:p>
    <w:p>
      <w:pPr>
        <w:spacing w:after="80"/>
      </w:pPr>
      <w:r>
        <w:rPr>
          <w:b/>
        </w:rPr>
        <w:t xml:space="preserve">10. </w:t>
      </w:r>
      <w:r>
        <w:t>Pitt B, et al. The effect of spironolactone on morbidity and mortality. N Engl J Med. 1999;341(10):709-17.</w:t>
      </w:r>
    </w:p>
    <w:p>
      <w:pPr>
        <w:spacing w:after="80"/>
      </w:pPr>
      <w:r>
        <w:rPr>
          <w:b/>
        </w:rPr>
        <w:t xml:space="preserve">11. </w:t>
      </w:r>
      <w:r>
        <w:t>Swedberg K, et al. Ivabradine and outcomes in chronic heart failure. Lancet. 2010;376(9744):875-85.</w:t>
      </w:r>
    </w:p>
    <w:p>
      <w:pPr>
        <w:spacing w:after="80"/>
      </w:pPr>
      <w:r>
        <w:rPr>
          <w:b/>
        </w:rPr>
        <w:t xml:space="preserve">12. </w:t>
      </w:r>
      <w:r>
        <w:t>Digitalis Investigation Group. The effect of digoxin on mortality. N Engl J Med. 1997;336(8):525-33.</w:t>
      </w:r>
    </w:p>
    <w:p>
      <w:pPr>
        <w:spacing w:after="80"/>
      </w:pPr>
      <w:r>
        <w:rPr>
          <w:b/>
        </w:rPr>
        <w:t xml:space="preserve">13. </w:t>
      </w:r>
      <w:r>
        <w:t>McMurray JJV, et al. Dapagliflozin in patients with HFrEF. N Engl J Med. 2019;381(21):1995-2008.</w:t>
      </w:r>
    </w:p>
    <w:p>
      <w:pPr>
        <w:spacing w:after="80"/>
      </w:pPr>
      <w:r>
        <w:rPr>
          <w:b/>
        </w:rPr>
        <w:t xml:space="preserve">14. </w:t>
      </w:r>
      <w:r>
        <w:t>Anker SD, et al. Empagliflozin in heart failure with preserved EF. N Engl J Med. 2021;385(16):1451-61.</w:t>
      </w:r>
    </w:p>
    <w:p>
      <w:pPr>
        <w:spacing w:after="80"/>
      </w:pPr>
      <w:r>
        <w:rPr>
          <w:b/>
        </w:rPr>
        <w:t xml:space="preserve">15. </w:t>
      </w:r>
      <w:r>
        <w:t>Packer M, et al. Cardiovascular outcomes with empagliflozin in HFrEF. N Engl J Med. 2020;383(15):1413-24.</w:t>
      </w:r>
    </w:p>
    <w:p>
      <w:pPr>
        <w:spacing w:after="80"/>
      </w:pPr>
      <w:r>
        <w:rPr>
          <w:b/>
        </w:rPr>
        <w:t xml:space="preserve">16. </w:t>
      </w:r>
      <w:r>
        <w:t>Bhatt DL, et al. Sotagliflozin in patients with diabetes and heart failure. N Engl J Med. 2021;384(2):117-28.</w:t>
      </w:r>
    </w:p>
    <w:p>
      <w:pPr>
        <w:spacing w:after="80"/>
      </w:pPr>
      <w:r>
        <w:rPr>
          <w:b/>
        </w:rPr>
        <w:t xml:space="preserve">17. </w:t>
      </w:r>
      <w:r>
        <w:t>Cleland JGF, et al. Cardiac resynchronization therapy in heart failure. N Engl J Med. 2005;352(15):1539-49.</w:t>
      </w:r>
    </w:p>
    <w:p>
      <w:pPr>
        <w:spacing w:after="80"/>
      </w:pPr>
      <w:r>
        <w:rPr>
          <w:b/>
        </w:rPr>
        <w:t xml:space="preserve">18. </w:t>
      </w:r>
      <w:r>
        <w:t>Moss AJ, et al. Cardiac-resynchronization therapy for prevention of events. N Engl J Med. 2009;361(14):1329-38.</w:t>
      </w:r>
    </w:p>
    <w:p>
      <w:pPr>
        <w:spacing w:after="80"/>
      </w:pPr>
      <w:r>
        <w:rPr>
          <w:b/>
        </w:rPr>
        <w:t xml:space="preserve">19. </w:t>
      </w:r>
      <w:r>
        <w:t>Kadish A, et al. Prophylactic defibrillator implantation in cardiomyopathy. N Engl J Med. 2004;350(21):2151-8.</w:t>
      </w:r>
    </w:p>
    <w:p>
      <w:pPr>
        <w:spacing w:after="80"/>
      </w:pPr>
      <w:r>
        <w:rPr>
          <w:b/>
        </w:rPr>
        <w:t xml:space="preserve">20. </w:t>
      </w:r>
      <w:r>
        <w:t>Bardy GH, et al. Amiodarone or an implantable defibrillator. N Engl J Med. 2005;352(3):225-37.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t xml:space="preserve">Estimates adjusted for age, sex and baseline ejection fraction.</w:t>
      </w:r>
      <w:r>
        <w:rPr>
          <w:vertAlign w:val="superscript"/>
        </w:rPr>
        <w:t>14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