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r>
    </w:p>
    <w:p>
      <w:pPr>
        <w:pStyle w:val="Normal"/>
        <w:spacing w:before="0" w:after="1200"/>
        <w:jc w:val="center"/>
        <w:rPr/>
      </w:pPr>
      <w:r>
        <w:rPr>
          <w:b/>
          <w:caps w:val="false"/>
          <w:smallCaps w:val="false"/>
          <w:color w:val="0B5D3B"/>
          <w:sz w:val="24"/>
        </w:rPr>
        <w:t>YAYASAN PESANTREN CIPANSOR</w:t>
      </w:r>
    </w:p>
    <w:p>
      <w:pPr>
        <w:pStyle w:val="Normal"/>
        <w:spacing w:before="0" w:after="160"/>
        <w:jc w:val="center"/>
        <w:rPr/>
      </w:pPr>
      <w:r>
        <w:rPr>
          <w:b/>
          <w:caps w:val="false"/>
          <w:smallCaps w:val="false"/>
          <w:color w:val="0B5D3B"/>
          <w:sz w:val="60"/>
        </w:rPr>
        <w:t>Evaluasi Dokumen Aplikasi</w:t>
      </w:r>
    </w:p>
    <w:p>
      <w:pPr>
        <w:pStyle w:val="Normal"/>
        <w:spacing w:before="0" w:after="200"/>
        <w:jc w:val="center"/>
        <w:rPr/>
      </w:pPr>
      <w:r>
        <w:rPr>
          <w:b w:val="false"/>
          <w:caps w:val="false"/>
          <w:smallCaps w:val="false"/>
          <w:color w:val="555555"/>
          <w:sz w:val="32"/>
        </w:rPr>
        <w:t>Sistem Informasi Cipansor</w:t>
      </w:r>
    </w:p>
    <w:p>
      <w:pPr>
        <w:pStyle w:val="Normal"/>
        <w:pBdr>
          <w:bottom w:val="single" w:sz="12" w:space="4" w:color="0B5D3B"/>
        </w:pBdr>
        <w:spacing w:before="0" w:after="720"/>
        <w:rPr/>
      </w:pPr>
      <w:r>
        <w:rPr/>
      </w:r>
    </w:p>
    <w:tbl>
      <w:tblPr>
        <w:tblW w:w="73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5329"/>
      </w:tblGrid>
      <w:tr>
        <w:trPr/>
        <w:tc>
          <w:tcPr>
            <w:tcW w:w="2040" w:type="dxa"/>
            <w:tcBorders/>
          </w:tcPr>
          <w:p>
            <w:pPr>
              <w:pStyle w:val="Normal"/>
              <w:spacing w:before="0" w:after="60"/>
              <w:rPr/>
            </w:pPr>
            <w:r>
              <w:rPr>
                <w:b/>
                <w:color w:val="666666"/>
                <w:sz w:val="22"/>
              </w:rPr>
              <w:t>Versi</w:t>
            </w:r>
          </w:p>
        </w:tc>
        <w:tc>
          <w:tcPr>
            <w:tcW w:w="5329" w:type="dxa"/>
            <w:tcBorders/>
          </w:tcPr>
          <w:p>
            <w:pPr>
              <w:pStyle w:val="Normal"/>
              <w:spacing w:before="0" w:after="60"/>
              <w:rPr/>
            </w:pPr>
            <w:r>
              <w:rPr>
                <w:b w:val="false"/>
                <w:color w:val="222222"/>
                <w:sz w:val="22"/>
              </w:rPr>
              <w:t>0.1</w:t>
            </w:r>
          </w:p>
        </w:tc>
      </w:tr>
      <w:tr>
        <w:trPr/>
        <w:tc>
          <w:tcPr>
            <w:tcW w:w="2040" w:type="dxa"/>
            <w:tcBorders/>
          </w:tcPr>
          <w:p>
            <w:pPr>
              <w:pStyle w:val="Normal"/>
              <w:spacing w:before="0" w:after="60"/>
              <w:rPr/>
            </w:pPr>
            <w:r>
              <w:rPr>
                <w:b/>
                <w:color w:val="666666"/>
                <w:sz w:val="22"/>
              </w:rPr>
              <w:t>Tanggal</w:t>
            </w:r>
          </w:p>
        </w:tc>
        <w:tc>
          <w:tcPr>
            <w:tcW w:w="5329" w:type="dxa"/>
            <w:tcBorders/>
          </w:tcPr>
          <w:p>
            <w:pPr>
              <w:pStyle w:val="Normal"/>
              <w:spacing w:before="0" w:after="60"/>
              <w:rPr/>
            </w:pPr>
            <w:r>
              <w:rPr>
                <w:b w:val="false"/>
                <w:color w:val="222222"/>
                <w:sz w:val="22"/>
              </w:rPr>
              <w:t>29 September 2026</w:t>
            </w:r>
          </w:p>
        </w:tc>
      </w:tr>
      <w:tr>
        <w:trPr/>
        <w:tc>
          <w:tcPr>
            <w:tcW w:w="2040" w:type="dxa"/>
            <w:tcBorders/>
          </w:tcPr>
          <w:p>
            <w:pPr>
              <w:pStyle w:val="Normal"/>
              <w:spacing w:before="0" w:after="60"/>
              <w:rPr/>
            </w:pPr>
            <w:r>
              <w:rPr>
                <w:b/>
                <w:color w:val="666666"/>
                <w:sz w:val="22"/>
              </w:rPr>
              <w:t>Status</w:t>
            </w:r>
          </w:p>
        </w:tc>
        <w:tc>
          <w:tcPr>
            <w:tcW w:w="5329" w:type="dxa"/>
            <w:tcBorders/>
          </w:tcPr>
          <w:p>
            <w:pPr>
              <w:pStyle w:val="Normal"/>
              <w:spacing w:before="0" w:after="60"/>
              <w:rPr/>
            </w:pPr>
            <w:r>
              <w:rPr>
                <w:b w:val="false"/>
                <w:color w:val="222222"/>
                <w:sz w:val="22"/>
              </w:rPr>
              <w:t>Final</w:t>
            </w:r>
          </w:p>
        </w:tc>
      </w:tr>
      <w:tr>
        <w:trPr/>
        <w:tc>
          <w:tcPr>
            <w:tcW w:w="2040" w:type="dxa"/>
            <w:tcBorders/>
          </w:tcPr>
          <w:p>
            <w:pPr>
              <w:pStyle w:val="Normal"/>
              <w:spacing w:before="0" w:after="60"/>
              <w:rPr/>
            </w:pPr>
            <w:r>
              <w:rPr>
                <w:b/>
                <w:color w:val="666666"/>
                <w:sz w:val="22"/>
              </w:rPr>
              <w:t>Basis kode</w:t>
            </w:r>
          </w:p>
        </w:tc>
        <w:tc>
          <w:tcPr>
            <w:tcW w:w="5329" w:type="dxa"/>
            <w:tcBorders/>
          </w:tcPr>
          <w:p>
            <w:pPr>
              <w:pStyle w:val="Normal"/>
              <w:spacing w:before="0" w:after="60"/>
              <w:rPr/>
            </w:pPr>
            <w:r>
              <w:rPr>
                <w:b w:val="false"/>
                <w:color w:val="222222"/>
                <w:sz w:val="22"/>
              </w:rPr>
              <w:t>commit aefc719</w:t>
            </w:r>
          </w:p>
        </w:tc>
      </w:tr>
      <w:tr>
        <w:trPr/>
        <w:tc>
          <w:tcPr>
            <w:tcW w:w="2040" w:type="dxa"/>
            <w:tcBorders/>
          </w:tcPr>
          <w:p>
            <w:pPr>
              <w:pStyle w:val="Normal"/>
              <w:spacing w:before="0" w:after="60"/>
              <w:rPr/>
            </w:pPr>
            <w:r>
              <w:rPr>
                <w:b/>
                <w:color w:val="666666"/>
                <w:sz w:val="22"/>
              </w:rPr>
              <w:t>Disusun oleh</w:t>
            </w:r>
          </w:p>
        </w:tc>
        <w:tc>
          <w:tcPr>
            <w:tcW w:w="5329" w:type="dxa"/>
            <w:tcBorders/>
          </w:tcPr>
          <w:p>
            <w:pPr>
              <w:pStyle w:val="Normal"/>
              <w:spacing w:before="0" w:after="60"/>
              <w:rPr/>
            </w:pPr>
            <w:r>
              <w:rPr>
                <w:b w:val="false"/>
                <w:color w:val="222222"/>
                <w:sz w:val="22"/>
              </w:rPr>
              <w:t>Agen OpenHands</w:t>
            </w:r>
          </w:p>
        </w:tc>
      </w:tr>
      <w:tr>
        <w:trPr/>
        <w:tc>
          <w:tcPr>
            <w:tcW w:w="2040" w:type="dxa"/>
            <w:tcBorders/>
          </w:tcPr>
          <w:p>
            <w:pPr>
              <w:pStyle w:val="Normal"/>
              <w:spacing w:before="0" w:after="60"/>
              <w:rPr/>
            </w:pPr>
            <w:r>
              <w:rPr>
                <w:b/>
                <w:color w:val="666666"/>
                <w:sz w:val="22"/>
              </w:rPr>
              <w:t>Klasifikasi</w:t>
            </w:r>
          </w:p>
        </w:tc>
        <w:tc>
          <w:tcPr>
            <w:tcW w:w="5329" w:type="dxa"/>
            <w:tcBorders/>
          </w:tcPr>
          <w:p>
            <w:pPr>
              <w:pStyle w:val="Normal"/>
              <w:spacing w:before="0" w:after="60"/>
              <w:rPr/>
            </w:pPr>
            <w:r>
              <w:rPr>
                <w:b w:val="false"/>
                <w:color w:val="222222"/>
                <w:sz w:val="22"/>
              </w:rPr>
              <w:t>Internal — Yayasan Pesantren Cipansor</w:t>
            </w:r>
          </w:p>
        </w:tc>
      </w:tr>
    </w:tbl>
    <w:p>
      <w:pPr>
        <w:pStyle w:val="Normal"/>
        <w:rPr/>
      </w:pPr>
      <w:r>
        <w:rPr/>
      </w:r>
      <w:r>
        <w:br w:type="page"/>
      </w:r>
    </w:p>
    <w:p>
      <w:pPr>
        <w:pStyle w:val="TOCHeading"/>
        <w:spacing w:before="0" w:after="160"/>
        <w:rPr/>
      </w:pPr>
      <w:r>
        <w:rPr/>
        <w:t>Daftar Isi</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03_1656736513">
            <w:r>
              <w:rPr>
                <w:webHidden/>
                <w:rStyle w:val="IndexLink"/>
              </w:rPr>
              <w:t>Evaluasi Dokumen Aplikasi Cipansor</w:t>
              <w:tab/>
              <w:t>3</w:t>
            </w:r>
          </w:hyperlink>
        </w:p>
        <w:p>
          <w:pPr>
            <w:pStyle w:val="TOC1"/>
            <w:tabs>
              <w:tab w:val="clear" w:pos="9072"/>
              <w:tab w:val="right" w:pos="9071" w:leader="dot"/>
            </w:tabs>
            <w:rPr/>
          </w:pPr>
          <w:hyperlink w:anchor="__RefHeading___Toc1205_1656736513">
            <w:r>
              <w:rPr>
                <w:webHidden/>
                <w:rStyle w:val="IndexLink"/>
              </w:rPr>
              <w:t>1. Yang dihasilkan</w:t>
              <w:tab/>
              <w:t>3</w:t>
            </w:r>
          </w:hyperlink>
        </w:p>
        <w:p>
          <w:pPr>
            <w:pStyle w:val="TOC1"/>
            <w:tabs>
              <w:tab w:val="clear" w:pos="9072"/>
              <w:tab w:val="right" w:pos="9071" w:leader="dot"/>
            </w:tabs>
            <w:rPr/>
          </w:pPr>
          <w:hyperlink w:anchor="__RefHeading___Toc1207_1656736513">
            <w:r>
              <w:rPr>
                <w:webHidden/>
                <w:rStyle w:val="IndexLink"/>
              </w:rPr>
              <w:t>2. Standar pembanding (hasil penelusuran)</w:t>
              <w:tab/>
              <w:t>3</w:t>
            </w:r>
          </w:hyperlink>
        </w:p>
        <w:p>
          <w:pPr>
            <w:pStyle w:val="TOC1"/>
            <w:tabs>
              <w:tab w:val="clear" w:pos="9072"/>
              <w:tab w:val="right" w:pos="9071" w:leader="dot"/>
            </w:tabs>
            <w:rPr/>
          </w:pPr>
          <w:hyperlink w:anchor="__RefHeading___Toc1209_1656736513">
            <w:r>
              <w:rPr>
                <w:webHidden/>
                <w:rStyle w:val="IndexLink"/>
              </w:rPr>
              <w:t>3. Evaluasi terhadap standar</w:t>
              <w:tab/>
              <w:t>4</w:t>
            </w:r>
          </w:hyperlink>
        </w:p>
        <w:p>
          <w:pPr>
            <w:pStyle w:val="TOC1"/>
            <w:tabs>
              <w:tab w:val="clear" w:pos="9072"/>
              <w:tab w:val="right" w:pos="9071" w:leader="dot"/>
            </w:tabs>
            <w:rPr/>
          </w:pPr>
          <w:hyperlink w:anchor="__RefHeading___Toc1211_1656736513">
            <w:r>
              <w:rPr>
                <w:webHidden/>
                <w:rStyle w:val="IndexLink"/>
              </w:rPr>
              <w:t>4. Perbaikan yang sudah diterapkan</w:t>
              <w:tab/>
              <w:t>5</w:t>
            </w:r>
          </w:hyperlink>
        </w:p>
        <w:p>
          <w:pPr>
            <w:pStyle w:val="TOC1"/>
            <w:tabs>
              <w:tab w:val="clear" w:pos="9072"/>
              <w:tab w:val="right" w:pos="9071" w:leader="dot"/>
            </w:tabs>
            <w:rPr/>
          </w:pPr>
          <w:hyperlink w:anchor="__RefHeading___Toc1213_1656736513">
            <w:r>
              <w:rPr>
                <w:webHidden/>
                <w:rStyle w:val="IndexLink"/>
              </w:rPr>
              <w:t>5. Yang belum dikerjakan (usulan lanjutan)</w:t>
              <w:tab/>
              <w:t>6</w:t>
            </w:r>
          </w:hyperlink>
        </w:p>
        <w:p>
          <w:pPr>
            <w:pStyle w:val="TOC1"/>
            <w:tabs>
              <w:tab w:val="clear" w:pos="9072"/>
              <w:tab w:val="right" w:pos="9071" w:leader="dot"/>
            </w:tabs>
            <w:rPr/>
          </w:pPr>
          <w:hyperlink w:anchor="__RefHeading___Toc1215_1656736513">
            <w:r>
              <w:rPr>
                <w:webHidden/>
                <w:rStyle w:val="IndexLink"/>
              </w:rPr>
              <w:t>6. Kesimpulan</w:t>
              <w:tab/>
              <w:t>6</w:t>
            </w:r>
          </w:hyperlink>
          <w:r>
            <w:rPr>
              <w:rStyle w:val="IndexLink"/>
            </w:rPr>
            <w:fldChar w:fldCharType="end"/>
          </w:r>
        </w:p>
      </w:sdtContent>
    </w:sdt>
    <w:p>
      <w:pPr>
        <w:pStyle w:val="Normal"/>
        <w:widowControl/>
        <w:bidi w:val="0"/>
        <w:spacing w:before="0" w:after="200"/>
        <w:jc w:val="left"/>
        <w:rPr>
          <w:rFonts w:ascii="Calibri" w:hAnsi="Calibri" w:eastAsia="Calibri" w:cs="Calibri"/>
          <w:color w:val="222222"/>
          <w:sz w:val="22"/>
        </w:rPr>
      </w:pPr>
      <w:r>
        <w:rPr>
          <w:rFonts w:eastAsia="Calibri" w:cs="Calibri"/>
          <w:color w:val="222222"/>
          <w:sz w:val="22"/>
        </w:rPr>
      </w:r>
      <w:r>
        <w:br w:type="page"/>
      </w:r>
    </w:p>
    <w:p>
      <w:pPr>
        <w:pStyle w:val="Heading1"/>
        <w:spacing w:before="0" w:after="160"/>
        <w:rPr/>
      </w:pPr>
      <w:bookmarkStart w:id="0" w:name="__RefHeading___Toc1203_1656736513"/>
      <w:bookmarkStart w:id="1" w:name="evaluasi-dokumen-aplikasi-cipansor"/>
      <w:bookmarkEnd w:id="0"/>
      <w:r>
        <w:rPr/>
        <w:t>Evaluasi Dokumen Aplikasi Cipansor</w:t>
      </w:r>
    </w:p>
    <w:p>
      <w:pPr>
        <w:pStyle w:val="FirstParagraph"/>
        <w:rPr/>
      </w:pPr>
      <w:r>
        <w:rPr/>
        <w:t xml:space="preserve">Tanggal: 29 September 2026 · Basis kode: commit </w:t>
      </w:r>
      <w:r>
        <w:rPr>
          <w:rStyle w:val="VerbatimChar"/>
        </w:rPr>
        <w:t>aefc719</w:t>
      </w:r>
      <w:r>
        <w:rPr/>
        <w:t xml:space="preserve"> · Penyusun: Agen OpenHands</w:t>
      </w:r>
    </w:p>
    <w:p>
      <w:pPr>
        <w:pStyle w:val="BodyText"/>
        <w:rPr/>
      </w:pPr>
      <w:r>
        <w:rPr/>
        <w:t xml:space="preserve">Dokumen ini merekam </w:t>
      </w:r>
      <w:r>
        <w:rPr>
          <w:b/>
          <w:bCs/>
        </w:rPr>
        <w:t>apa yang dihasilkan</w:t>
      </w:r>
      <w:r>
        <w:rPr/>
        <w:t xml:space="preserve">, </w:t>
      </w:r>
      <w:r>
        <w:rPr>
          <w:b/>
          <w:bCs/>
        </w:rPr>
        <w:t>standar yang dipakai sebagai pembanding</w:t>
      </w:r>
      <w:r>
        <w:rPr/>
        <w:t xml:space="preserve">, </w:t>
      </w:r>
      <w:r>
        <w:rPr>
          <w:b/>
          <w:bCs/>
        </w:rPr>
        <w:t>hasil evaluasi</w:t>
      </w:r>
      <w:r>
        <w:rPr/>
        <w:t xml:space="preserve">, dan </w:t>
      </w:r>
      <w:r>
        <w:rPr>
          <w:b/>
          <w:bCs/>
        </w:rPr>
        <w:t>perbaikan yang sudah diterapkan</w:t>
      </w:r>
      <w:r>
        <w:rPr/>
        <w:t>.</w:t>
      </w:r>
      <w:bookmarkEnd w:id="1"/>
    </w:p>
    <w:p>
      <w:pPr>
        <w:pStyle w:val="Heading1"/>
        <w:rPr/>
      </w:pPr>
      <w:bookmarkStart w:id="2" w:name="__RefHeading___Toc1205_1656736513"/>
      <w:bookmarkStart w:id="3" w:name="Xa71c0a0f6b9a24ddcffb2a1eba1a461d3288b01"/>
      <w:bookmarkEnd w:id="2"/>
      <w:r>
        <w:rPr/>
        <w:t>1. Yang dihasilkan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791"/>
        <w:gridCol w:w="4354"/>
        <w:gridCol w:w="1925"/>
      </w:tblGrid>
      <w:tr>
        <w:trPr>
          <w:tblHeader w:val="true"/>
          <w:cantSplit w:val="true"/>
        </w:trPr>
        <w:tc>
          <w:tcPr>
            <w:tcW w:w="279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Berkas</w:t>
            </w:r>
          </w:p>
        </w:tc>
        <w:tc>
          <w:tcPr>
            <w:tcW w:w="435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Isi</w:t>
            </w:r>
          </w:p>
        </w:tc>
        <w:tc>
          <w:tcPr>
            <w:tcW w:w="192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Ukuran</w:t>
            </w:r>
          </w:p>
        </w:tc>
      </w:tr>
      <w:tr>
        <w:trPr>
          <w:cantSplit w:val="true"/>
        </w:trPr>
        <w:tc>
          <w:tcPr>
            <w:tcW w:w="279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dokumen-teknis-cipansor.docx</w:t>
            </w:r>
            <w:r>
              <w:rPr>
                <w:kern w:val="0"/>
                <w:sz w:val="19"/>
                <w:szCs w:val="24"/>
                <w:lang w:val="en-US" w:eastAsia="en-US" w:bidi="ar-SA"/>
              </w:rPr>
              <w:t xml:space="preserve"> / </w:t>
            </w:r>
            <w:r>
              <w:rPr>
                <w:rStyle w:val="VerbatimChar"/>
                <w:kern w:val="0"/>
                <w:sz w:val="19"/>
                <w:szCs w:val="24"/>
                <w:lang w:val="en-US" w:eastAsia="en-US" w:bidi="ar-SA"/>
              </w:rPr>
              <w:t>.pdf</w:t>
            </w:r>
          </w:p>
        </w:tc>
        <w:tc>
          <w:tcPr>
            <w:tcW w:w="435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Dokumen teknis aplikasi (kerangka arc42 + diagram C4/Mermaid)</w:t>
            </w:r>
          </w:p>
        </w:tc>
        <w:tc>
          <w:tcPr>
            <w:tcW w:w="192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67 halaman, 10 diagram</w:t>
            </w:r>
          </w:p>
        </w:tc>
      </w:tr>
      <w:tr>
        <w:trPr>
          <w:cantSplit w:val="true"/>
        </w:trPr>
        <w:tc>
          <w:tcPr>
            <w:tcW w:w="27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panduan-pengguna-umum.docx</w:t>
            </w:r>
            <w:r>
              <w:rPr>
                <w:kern w:val="0"/>
                <w:sz w:val="19"/>
                <w:szCs w:val="24"/>
                <w:lang w:val="en-US" w:eastAsia="en-US" w:bidi="ar-SA"/>
              </w:rPr>
              <w:t xml:space="preserve"> / </w:t>
            </w:r>
            <w:r>
              <w:rPr>
                <w:rStyle w:val="VerbatimChar"/>
                <w:kern w:val="0"/>
                <w:sz w:val="19"/>
                <w:szCs w:val="24"/>
                <w:lang w:val="en-US" w:eastAsia="en-US" w:bidi="ar-SA"/>
              </w:rPr>
              <w:t>.pdf</w:t>
            </w:r>
          </w:p>
        </w:tc>
        <w:tc>
          <w:tcPr>
            <w:tcW w:w="435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Panduan pengguna — bagian umum (Diátaxis)</w:t>
            </w:r>
          </w:p>
        </w:tc>
        <w:tc>
          <w:tcPr>
            <w:tcW w:w="192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14 halaman</w:t>
            </w:r>
          </w:p>
        </w:tc>
      </w:tr>
      <w:tr>
        <w:trPr>
          <w:cantSplit w:val="true"/>
        </w:trPr>
        <w:tc>
          <w:tcPr>
            <w:tcW w:w="27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panduan-pengguna-guru.docx</w:t>
            </w:r>
            <w:r>
              <w:rPr>
                <w:kern w:val="0"/>
                <w:sz w:val="19"/>
                <w:szCs w:val="24"/>
                <w:lang w:val="en-US" w:eastAsia="en-US" w:bidi="ar-SA"/>
              </w:rPr>
              <w:t xml:space="preserve"> / </w:t>
            </w:r>
            <w:r>
              <w:rPr>
                <w:rStyle w:val="VerbatimChar"/>
                <w:kern w:val="0"/>
                <w:sz w:val="19"/>
                <w:szCs w:val="24"/>
                <w:lang w:val="en-US" w:eastAsia="en-US" w:bidi="ar-SA"/>
              </w:rPr>
              <w:t>.pdf</w:t>
            </w:r>
          </w:p>
        </w:tc>
        <w:tc>
          <w:tcPr>
            <w:tcW w:w="435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Panduan pengguna — buklet peran Guru</w:t>
            </w:r>
          </w:p>
        </w:tc>
        <w:tc>
          <w:tcPr>
            <w:tcW w:w="192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 halaman</w:t>
            </w:r>
          </w:p>
        </w:tc>
      </w:tr>
      <w:tr>
        <w:trPr>
          <w:cantSplit w:val="true"/>
        </w:trPr>
        <w:tc>
          <w:tcPr>
            <w:tcW w:w="27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*.md</w:t>
            </w:r>
          </w:p>
        </w:tc>
        <w:tc>
          <w:tcPr>
            <w:tcW w:w="435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Sumber Markdown, dapat dibangun ulang</w:t>
            </w:r>
          </w:p>
        </w:tc>
        <w:tc>
          <w:tcPr>
            <w:tcW w:w="192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r>
      <w:tr>
        <w:trPr>
          <w:cantSplit w:val="true"/>
        </w:trPr>
        <w:tc>
          <w:tcPr>
            <w:tcW w:w="27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diagrams/</w:t>
            </w:r>
          </w:p>
        </w:tc>
        <w:tc>
          <w:tcPr>
            <w:tcW w:w="435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Diagram Mermaid (.mmd) dan gambar (.png)</w:t>
            </w:r>
          </w:p>
        </w:tc>
        <w:tc>
          <w:tcPr>
            <w:tcW w:w="192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10 diagram</w:t>
            </w:r>
          </w:p>
        </w:tc>
      </w:tr>
    </w:tbl>
    <w:p>
      <w:pPr>
        <w:pStyle w:val="BodyText"/>
        <w:rPr/>
      </w:pPr>
      <w:r>
        <w:rPr/>
        <w:t xml:space="preserve">Semua berkas dibangun dengan </w:t>
      </w:r>
      <w:r>
        <w:rPr>
          <w:rStyle w:val="VerbatimChar"/>
        </w:rPr>
        <w:t>scripts/build_docs.py</w:t>
      </w:r>
      <w:r>
        <w:rPr/>
        <w:t xml:space="preserve"> (Markdown → docx; pandoc + python-docx + mermaid-cli), daftar isi diisi dengan </w:t>
      </w:r>
      <w:r>
        <w:rPr>
          <w:rStyle w:val="VerbatimChar"/>
        </w:rPr>
        <w:t>scripts/update_toc.py</w:t>
      </w:r>
      <w:r>
        <w:rPr/>
        <w:t xml:space="preserve"> (LibreOffice), dan diperiksa dengan </w:t>
      </w:r>
      <w:r>
        <w:rPr>
          <w:rStyle w:val="VerbatimChar"/>
        </w:rPr>
        <w:t>scripts/scan_sensitive.py</w:t>
      </w:r>
      <w:r>
        <w:rPr/>
        <w:t>.</w:t>
      </w:r>
      <w:bookmarkEnd w:id="3"/>
    </w:p>
    <w:p>
      <w:pPr>
        <w:pStyle w:val="Heading1"/>
        <w:rPr/>
      </w:pPr>
      <w:bookmarkStart w:id="4" w:name="__RefHeading___Toc1207_1656736513"/>
      <w:bookmarkStart w:id="5" w:name="X160cf1158aa4f7b3593910ea7751c9cf6dd4fb0"/>
      <w:bookmarkEnd w:id="4"/>
      <w:r>
        <w:rPr/>
        <w:t>2. Standar pembanding (hasil penelusuran)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017"/>
        <w:gridCol w:w="4595"/>
        <w:gridCol w:w="2458"/>
      </w:tblGrid>
      <w:tr>
        <w:trPr>
          <w:tblHeader w:val="true"/>
          <w:cantSplit w:val="true"/>
        </w:trPr>
        <w:tc>
          <w:tcPr>
            <w:tcW w:w="201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Bidang</w:t>
            </w:r>
          </w:p>
        </w:tc>
        <w:tc>
          <w:tcPr>
            <w:tcW w:w="459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Standar / praktik terbaik</w:t>
            </w:r>
          </w:p>
        </w:tc>
        <w:tc>
          <w:tcPr>
            <w:tcW w:w="245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Sumber</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Dokumen arsitektur</w:t>
            </w:r>
          </w:p>
        </w:tc>
        <w:tc>
          <w:tcPr>
            <w:tcW w:w="459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b/>
                <w:bCs/>
                <w:kern w:val="0"/>
                <w:sz w:val="19"/>
                <w:szCs w:val="24"/>
                <w:lang w:val="en-US" w:eastAsia="en-US" w:bidi="ar-SA"/>
              </w:rPr>
              <w:t>arc42</w:t>
            </w:r>
            <w:r>
              <w:rPr>
                <w:kern w:val="0"/>
                <w:sz w:val="19"/>
                <w:szCs w:val="24"/>
                <w:lang w:val="en-US" w:eastAsia="en-US" w:bidi="ar-SA"/>
              </w:rPr>
              <w:t>: 12 bab (Pendahuluan, Batasan, Konteks, Strategi Solusi, Blok Bangunan, Runtime, Penempatan, Konsep Lintas-Bidang, Keputusan, Mutu, Risiko &amp; Utang, Glosarium)</w:t>
            </w:r>
          </w:p>
        </w:tc>
        <w:tc>
          <w:tcPr>
            <w:tcW w:w="245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arc42.org; docs.arc42.org</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Diagram</w:t>
            </w:r>
          </w:p>
        </w:tc>
        <w:tc>
          <w:tcPr>
            <w:tcW w:w="45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b/>
                <w:bCs/>
                <w:kern w:val="0"/>
                <w:sz w:val="19"/>
                <w:szCs w:val="24"/>
                <w:lang w:val="en-US" w:eastAsia="en-US" w:bidi="ar-SA"/>
              </w:rPr>
              <w:t>Model C4</w:t>
            </w:r>
            <w:r>
              <w:rPr>
                <w:kern w:val="0"/>
                <w:sz w:val="19"/>
                <w:szCs w:val="24"/>
                <w:lang w:val="en-US" w:eastAsia="en-US" w:bidi="ar-SA"/>
              </w:rPr>
              <w:t>: Konteks sistem, Kontainer, Komponen, ditambah diagram dinamis/penempatan</w:t>
            </w:r>
          </w:p>
        </w:tc>
        <w:tc>
          <w:tcPr>
            <w:tcW w:w="245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c4model.com; didukung arc42 §5–7</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Keputusan</w:t>
            </w:r>
          </w:p>
        </w:tc>
        <w:tc>
          <w:tcPr>
            <w:tcW w:w="45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b/>
                <w:bCs/>
                <w:kern w:val="0"/>
                <w:sz w:val="19"/>
                <w:szCs w:val="24"/>
                <w:lang w:val="en-US" w:eastAsia="en-US" w:bidi="ar-SA"/>
              </w:rPr>
              <w:t>ADR</w:t>
            </w:r>
            <w:r>
              <w:rPr>
                <w:kern w:val="0"/>
                <w:sz w:val="19"/>
                <w:szCs w:val="24"/>
                <w:lang w:val="en-US" w:eastAsia="en-US" w:bidi="ar-SA"/>
              </w:rPr>
              <w:t xml:space="preserve"> (Architecture Decision Record) — konteks, keputusan, konsekuensi</w:t>
            </w:r>
          </w:p>
        </w:tc>
        <w:tc>
          <w:tcPr>
            <w:tcW w:w="245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arc42 §9; </w:t>
            </w:r>
            <w:r>
              <w:rPr>
                <w:rStyle w:val="VerbatimChar"/>
                <w:kern w:val="0"/>
                <w:sz w:val="19"/>
                <w:szCs w:val="24"/>
                <w:lang w:val="en-US" w:eastAsia="en-US" w:bidi="ar-SA"/>
              </w:rPr>
              <w:t>adr.github.io</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Mutu</w:t>
            </w:r>
          </w:p>
        </w:tc>
        <w:tc>
          <w:tcPr>
            <w:tcW w:w="45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Skenario mutu gaya </w:t>
            </w:r>
            <w:r>
              <w:rPr>
                <w:b/>
                <w:bCs/>
                <w:kern w:val="0"/>
                <w:sz w:val="19"/>
                <w:szCs w:val="24"/>
                <w:lang w:val="en-US" w:eastAsia="en-US" w:bidi="ar-SA"/>
              </w:rPr>
              <w:t>ISO/IEC 25010</w:t>
            </w:r>
            <w:r>
              <w:rPr>
                <w:kern w:val="0"/>
                <w:sz w:val="19"/>
                <w:szCs w:val="24"/>
                <w:lang w:val="en-US" w:eastAsia="en-US" w:bidi="ar-SA"/>
              </w:rPr>
              <w:t xml:space="preserve"> dengan tolok ukur</w:t>
            </w:r>
          </w:p>
        </w:tc>
        <w:tc>
          <w:tcPr>
            <w:tcW w:w="245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arc42 §10</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Utang teknis</w:t>
            </w:r>
          </w:p>
        </w:tc>
        <w:tc>
          <w:tcPr>
            <w:tcW w:w="45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Daftar utang dengan gejala, dampak, dan arah penanganan</w:t>
            </w:r>
          </w:p>
        </w:tc>
        <w:tc>
          <w:tcPr>
            <w:tcW w:w="245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arc42 §11</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Panduan pengguna</w:t>
            </w:r>
          </w:p>
        </w:tc>
        <w:tc>
          <w:tcPr>
            <w:tcW w:w="45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b/>
                <w:bCs/>
                <w:kern w:val="0"/>
                <w:sz w:val="19"/>
                <w:szCs w:val="24"/>
                <w:lang w:val="en-US" w:eastAsia="en-US" w:bidi="ar-SA"/>
              </w:rPr>
              <w:t>Diátaxis</w:t>
            </w:r>
            <w:r>
              <w:rPr>
                <w:kern w:val="0"/>
                <w:sz w:val="19"/>
                <w:szCs w:val="24"/>
                <w:lang w:val="en-US" w:eastAsia="en-US" w:bidi="ar-SA"/>
              </w:rPr>
              <w:t>: tutorial, panduan tugas, penjelasan, rujukan — dipisah tegas</w:t>
            </w:r>
          </w:p>
        </w:tc>
        <w:tc>
          <w:tcPr>
            <w:tcW w:w="245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diataxis.fr</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Panduan pengguna (proses)</w:t>
            </w:r>
          </w:p>
        </w:tc>
        <w:tc>
          <w:tcPr>
            <w:tcW w:w="45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b/>
                <w:bCs/>
                <w:kern w:val="0"/>
                <w:sz w:val="19"/>
                <w:szCs w:val="24"/>
                <w:lang w:val="en-US" w:eastAsia="en-US" w:bidi="ar-SA"/>
              </w:rPr>
              <w:t>ISO/IEC 26514</w:t>
            </w:r>
            <w:r>
              <w:rPr>
                <w:kern w:val="0"/>
                <w:sz w:val="19"/>
                <w:szCs w:val="24"/>
                <w:lang w:val="en-US" w:eastAsia="en-US" w:bidi="ar-SA"/>
              </w:rPr>
              <w:t xml:space="preserve"> — struktur, isi, dan mutu dokumentasi pengguna</w:t>
            </w:r>
          </w:p>
        </w:tc>
        <w:tc>
          <w:tcPr>
            <w:tcW w:w="245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ISO/IEC 26514</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Pemeliharaan</w:t>
            </w:r>
          </w:p>
        </w:tc>
        <w:tc>
          <w:tcPr>
            <w:tcW w:w="45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b/>
                <w:bCs/>
                <w:kern w:val="0"/>
                <w:sz w:val="19"/>
                <w:szCs w:val="24"/>
                <w:lang w:val="en-US" w:eastAsia="en-US" w:bidi="ar-SA"/>
              </w:rPr>
              <w:t>Docs-as-Code</w:t>
            </w:r>
            <w:r>
              <w:rPr>
                <w:kern w:val="0"/>
                <w:sz w:val="19"/>
                <w:szCs w:val="24"/>
                <w:lang w:val="en-US" w:eastAsia="en-US" w:bidi="ar-SA"/>
              </w:rPr>
              <w:t>: dokumen hidup di repositori, melalui PR, dibangun di CI</w:t>
            </w:r>
          </w:p>
        </w:tc>
        <w:tc>
          <w:tcPr>
            <w:tcW w:w="245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Wonderment, Scand, Fern</w:t>
            </w:r>
          </w:p>
        </w:tc>
      </w:tr>
      <w:tr>
        <w:trPr>
          <w:cantSplit w:val="true"/>
        </w:trPr>
        <w:tc>
          <w:tcPr>
            <w:tcW w:w="20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Penandaan data</w:t>
            </w:r>
          </w:p>
        </w:tc>
        <w:tc>
          <w:tcPr>
            <w:tcW w:w="45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Klasifikasi dokumen, versi, pemilik, riwayat revisi</w:t>
            </w:r>
          </w:p>
        </w:tc>
        <w:tc>
          <w:tcPr>
            <w:tcW w:w="245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Docs-as-Code + ISO 26514</w:t>
            </w:r>
          </w:p>
        </w:tc>
      </w:tr>
    </w:tbl>
    <w:p>
      <w:pPr>
        <w:pStyle w:val="BodyText"/>
        <w:rPr/>
      </w:pPr>
      <w:bookmarkStart w:id="6" w:name="X160cf1158aa4f7b3593910ea7751c9cf6dd4fb0"/>
      <w:r>
        <w:rPr/>
        <w:t>Ringkasan praktik kuncinya: satu dokumen = satu jenis pembaca; angka harus terlacak ke sumbernya; keputusan dicatat terpisah dari deskripsi; dokumen diperlakukan sebagai kode (di repositori, oleh PR, dibangun otomatis); dan dokumen harus tetap akurat dengan cara ditinjau ulang berkala, bukan ditulis sekali.</w:t>
      </w:r>
      <w:bookmarkEnd w:id="6"/>
    </w:p>
    <w:p>
      <w:pPr>
        <w:pStyle w:val="Heading1"/>
        <w:rPr/>
      </w:pPr>
      <w:bookmarkStart w:id="7" w:name="__RefHeading___Toc1209_1656736513"/>
      <w:bookmarkEnd w:id="7"/>
      <w:r>
        <w:rPr/>
        <w:t>3. Evaluasi terhadap standar</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320"/>
        <w:gridCol w:w="1501"/>
        <w:gridCol w:w="3216"/>
        <w:gridCol w:w="3032"/>
      </w:tblGrid>
      <w:tr>
        <w:trPr>
          <w:tblHeader w:val="true"/>
          <w:cantSplit w:val="true"/>
        </w:trPr>
        <w:tc>
          <w:tcPr>
            <w:tcW w:w="132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Aspek</w:t>
            </w:r>
          </w:p>
        </w:tc>
        <w:tc>
          <w:tcPr>
            <w:tcW w:w="150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Standar</w:t>
            </w:r>
          </w:p>
        </w:tc>
        <w:tc>
          <w:tcPr>
            <w:tcW w:w="321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Keadaan hasil</w:t>
            </w:r>
          </w:p>
        </w:tc>
        <w:tc>
          <w:tcPr>
            <w:tcW w:w="303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Nilai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Kerangka dokumen teknis</w:t>
            </w:r>
          </w:p>
        </w:tc>
        <w:tc>
          <w:tcPr>
            <w:tcW w:w="150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arc42 12 bab</w:t>
            </w:r>
          </w:p>
        </w:tc>
        <w:tc>
          <w:tcPr>
            <w:tcW w:w="321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Semua 12 bab ada dan berjudul sama</w:t>
            </w:r>
          </w:p>
        </w:tc>
        <w:tc>
          <w:tcPr>
            <w:tcW w:w="303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Tampak blok bangunan</w:t>
            </w:r>
          </w:p>
        </w:tc>
        <w:tc>
          <w:tcPr>
            <w:tcW w:w="150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arc42 §5 + C4 tingkat 1–2</w:t>
            </w:r>
          </w:p>
        </w:tc>
        <w:tc>
          <w:tcPr>
            <w:tcW w:w="321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Diagram Kontainer dan Lapisan modul API</w:t>
            </w:r>
          </w:p>
        </w:tc>
        <w:tc>
          <w:tcPr>
            <w:tcW w:w="30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Tampak runtime</w:t>
            </w:r>
          </w:p>
        </w:tc>
        <w:tc>
          <w:tcPr>
            <w:tcW w:w="150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arc42 §6, skenario bernomor</w:t>
            </w:r>
          </w:p>
        </w:tc>
        <w:tc>
          <w:tcPr>
            <w:tcW w:w="321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 skenario (masuk/2FA, permintaan API, pengesahan yayasan, persuratan/TTE, SPMB, penjadwalan)</w:t>
            </w:r>
          </w:p>
        </w:tc>
        <w:tc>
          <w:tcPr>
            <w:tcW w:w="30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Penempatan</w:t>
            </w:r>
          </w:p>
        </w:tc>
        <w:tc>
          <w:tcPr>
            <w:tcW w:w="150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arc42 §7</w:t>
            </w:r>
          </w:p>
        </w:tc>
        <w:tc>
          <w:tcPr>
            <w:tcW w:w="321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Diagram penempatan Azure + tabel env</w:t>
            </w:r>
          </w:p>
        </w:tc>
        <w:tc>
          <w:tcPr>
            <w:tcW w:w="30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Keputusan</w:t>
            </w:r>
          </w:p>
        </w:tc>
        <w:tc>
          <w:tcPr>
            <w:tcW w:w="150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ADR</w:t>
            </w:r>
          </w:p>
        </w:tc>
        <w:tc>
          <w:tcPr>
            <w:tcW w:w="321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23 baris keputusan bertaut berkas aslinya</w:t>
            </w:r>
          </w:p>
        </w:tc>
        <w:tc>
          <w:tcPr>
            <w:tcW w:w="30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Mutu</w:t>
            </w:r>
          </w:p>
        </w:tc>
        <w:tc>
          <w:tcPr>
            <w:tcW w:w="150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ISO 25010</w:t>
            </w:r>
          </w:p>
        </w:tc>
        <w:tc>
          <w:tcPr>
            <w:tcW w:w="321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Tabel skenario + bukti + status</w:t>
            </w:r>
          </w:p>
        </w:tc>
        <w:tc>
          <w:tcPr>
            <w:tcW w:w="30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Sebagian (status "terbukti sebagian" wajar untuk sistem berjalan)</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Risiko/utang</w:t>
            </w:r>
          </w:p>
        </w:tc>
        <w:tc>
          <w:tcPr>
            <w:tcW w:w="150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arc42 §11</w:t>
            </w:r>
          </w:p>
        </w:tc>
        <w:tc>
          <w:tcPr>
            <w:tcW w:w="321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Daftar 10 kategori dengan dampak &amp; arah</w:t>
            </w:r>
          </w:p>
        </w:tc>
        <w:tc>
          <w:tcPr>
            <w:tcW w:w="30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Glosarium</w:t>
            </w:r>
          </w:p>
        </w:tc>
        <w:tc>
          <w:tcPr>
            <w:tcW w:w="150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arc42 §12</w:t>
            </w:r>
          </w:p>
        </w:tc>
        <w:tc>
          <w:tcPr>
            <w:tcW w:w="321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20 istilah bilingual</w:t>
            </w:r>
          </w:p>
        </w:tc>
        <w:tc>
          <w:tcPr>
            <w:tcW w:w="30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Panduan pengguna</w:t>
            </w:r>
          </w:p>
        </w:tc>
        <w:tc>
          <w:tcPr>
            <w:tcW w:w="150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Diátaxis</w:t>
            </w:r>
          </w:p>
        </w:tc>
        <w:tc>
          <w:tcPr>
            <w:tcW w:w="321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Umum = tutorial + penjelasan + rujukan; Guru = panduan tugas</w:t>
            </w:r>
          </w:p>
        </w:tc>
        <w:tc>
          <w:tcPr>
            <w:tcW w:w="30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Keterlacakan angka</w:t>
            </w:r>
          </w:p>
        </w:tc>
        <w:tc>
          <w:tcPr>
            <w:tcW w:w="150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Docs-as-Code</w:t>
            </w:r>
          </w:p>
        </w:tc>
        <w:tc>
          <w:tcPr>
            <w:tcW w:w="321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Setiap angka menyebut "commit </w:t>
            </w:r>
            <w:r>
              <w:rPr>
                <w:rStyle w:val="VerbatimChar"/>
                <w:kern w:val="0"/>
                <w:sz w:val="19"/>
                <w:szCs w:val="24"/>
                <w:lang w:val="en-US" w:eastAsia="en-US" w:bidi="ar-SA"/>
              </w:rPr>
              <w:t>aefc719</w:t>
            </w:r>
            <w:r>
              <w:rPr>
                <w:kern w:val="0"/>
                <w:sz w:val="19"/>
                <w:szCs w:val="24"/>
                <w:lang w:val="en-US" w:eastAsia="en-US" w:bidi="ar-SA"/>
              </w:rPr>
              <w:t>"</w:t>
            </w:r>
          </w:p>
        </w:tc>
        <w:tc>
          <w:tcPr>
            <w:tcW w:w="30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Versi &amp; status</w:t>
            </w:r>
          </w:p>
        </w:tc>
        <w:tc>
          <w:tcPr>
            <w:tcW w:w="150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ISO 26514</w:t>
            </w:r>
          </w:p>
        </w:tc>
        <w:tc>
          <w:tcPr>
            <w:tcW w:w="321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Riwayat revisi + status (produksi/staging/main/cabang) di tiap dokumen</w:t>
            </w:r>
          </w:p>
        </w:tc>
        <w:tc>
          <w:tcPr>
            <w:tcW w:w="30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Sebagian (tingkat verifikasi baru T2)</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Keamanan dokumen</w:t>
            </w:r>
          </w:p>
        </w:tc>
        <w:tc>
          <w:tcPr>
            <w:tcW w:w="150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Klasifikasi</w:t>
            </w:r>
          </w:p>
        </w:tc>
        <w:tc>
          <w:tcPr>
            <w:tcW w:w="321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scan_sensitive.py</w:t>
            </w:r>
            <w:r>
              <w:rPr>
                <w:kern w:val="0"/>
                <w:sz w:val="19"/>
                <w:szCs w:val="24"/>
                <w:lang w:val="en-US" w:eastAsia="en-US" w:bidi="ar-SA"/>
              </w:rPr>
              <w:t xml:space="preserve"> bersih; hal sensitif hanya disebut sebagai kategori</w:t>
            </w:r>
          </w:p>
        </w:tc>
        <w:tc>
          <w:tcPr>
            <w:tcW w:w="30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Sesuai</w:t>
            </w:r>
          </w:p>
        </w:tc>
      </w:tr>
      <w:tr>
        <w:trPr>
          <w:cantSplit w:val="true"/>
        </w:trPr>
        <w:tc>
          <w:tcPr>
            <w:tcW w:w="132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Pemeliharaan</w:t>
            </w:r>
          </w:p>
        </w:tc>
        <w:tc>
          <w:tcPr>
            <w:tcW w:w="150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Docs-as-Code</w:t>
            </w:r>
          </w:p>
        </w:tc>
        <w:tc>
          <w:tcPr>
            <w:tcW w:w="321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Sumber Markdown + skrip pembangun; </w:t>
            </w:r>
            <w:r>
              <w:rPr>
                <w:b/>
                <w:bCs/>
                <w:kern w:val="0"/>
                <w:sz w:val="19"/>
                <w:szCs w:val="24"/>
                <w:lang w:val="en-US" w:eastAsia="en-US" w:bidi="ar-SA"/>
              </w:rPr>
              <w:t>belum masuk CI</w:t>
            </w:r>
          </w:p>
        </w:tc>
        <w:tc>
          <w:tcPr>
            <w:tcW w:w="30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Belum sesuai</w:t>
            </w:r>
            <w:bookmarkStart w:id="8" w:name="X5a17860703155897d1f2e4b6709dad13186bfaa"/>
            <w:bookmarkEnd w:id="8"/>
          </w:p>
        </w:tc>
      </w:tr>
    </w:tbl>
    <w:p>
      <w:pPr>
        <w:pStyle w:val="Heading1"/>
        <w:rPr/>
      </w:pPr>
      <w:bookmarkStart w:id="9" w:name="__RefHeading___Toc1211_1656736513"/>
      <w:bookmarkEnd w:id="9"/>
      <w:r>
        <w:rPr/>
        <w:t>4. Perbaikan yang sudah diterapkan</w:t>
      </w:r>
    </w:p>
    <w:p>
      <w:pPr>
        <w:pStyle w:val="Compact"/>
        <w:numPr>
          <w:ilvl w:val="0"/>
          <w:numId w:val="4"/>
        </w:numPr>
        <w:rPr/>
      </w:pPr>
      <w:r>
        <w:rPr>
          <w:b/>
          <w:bCs/>
        </w:rPr>
        <w:t>Sampul dan daftar isi di depan</w:t>
      </w:r>
      <w:r>
        <w:rPr/>
        <w:t xml:space="preserve"> — sebelumnya tersisip di akhir dokumen; kini dipindah ke awal badan (</w:t>
      </w:r>
      <w:r>
        <w:rPr>
          <w:rStyle w:val="VerbatimChar"/>
        </w:rPr>
        <w:t>build_docs.py</w:t>
      </w:r>
      <w:r>
        <w:rPr/>
        <w:t>).</w:t>
      </w:r>
    </w:p>
    <w:p>
      <w:pPr>
        <w:pStyle w:val="Compact"/>
        <w:numPr>
          <w:ilvl w:val="0"/>
          <w:numId w:val="1"/>
        </w:numPr>
        <w:rPr/>
      </w:pPr>
      <w:r>
        <w:rPr>
          <w:b/>
          <w:bCs/>
        </w:rPr>
        <w:t>Daftar isi berisi nomor halaman</w:t>
      </w:r>
      <w:r>
        <w:rPr/>
        <w:t xml:space="preserve"> — diisi lewat LibreOffice (</w:t>
      </w:r>
      <w:r>
        <w:rPr>
          <w:rStyle w:val="VerbatimChar"/>
        </w:rPr>
        <w:t>update_toc.py</w:t>
      </w:r>
      <w:r>
        <w:rPr/>
        <w:t>), bukan sekadar bidang kosong.</w:t>
      </w:r>
    </w:p>
    <w:p>
      <w:pPr>
        <w:pStyle w:val="Compact"/>
        <w:numPr>
          <w:ilvl w:val="0"/>
          <w:numId w:val="1"/>
        </w:numPr>
        <w:rPr/>
      </w:pPr>
      <w:r>
        <w:rPr>
          <w:b/>
          <w:bCs/>
        </w:rPr>
        <w:t>Diagram ERD diperbaiki</w:t>
      </w:r>
      <w:r>
        <w:rPr/>
        <w:t xml:space="preserve"> — entitas </w:t>
      </w:r>
      <w:r>
        <w:rPr>
          <w:rStyle w:val="VerbatimChar"/>
        </w:rPr>
        <w:t>CLASS</w:t>
      </w:r>
      <w:r>
        <w:rPr/>
        <w:t xml:space="preserve"> bertabrakan dengan kata kunci Mermaid; diganti </w:t>
      </w:r>
      <w:r>
        <w:rPr>
          <w:rStyle w:val="VerbatimChar"/>
        </w:rPr>
        <w:t>KELAS</w:t>
      </w:r>
      <w:r>
        <w:rPr/>
        <w:t>.</w:t>
      </w:r>
    </w:p>
    <w:p>
      <w:pPr>
        <w:pStyle w:val="Compact"/>
        <w:numPr>
          <w:ilvl w:val="0"/>
          <w:numId w:val="1"/>
        </w:numPr>
        <w:rPr/>
      </w:pPr>
      <w:r>
        <w:rPr>
          <w:b/>
          <w:bCs/>
        </w:rPr>
        <w:t>Arc42 §1.4 "Cara membaca dokumen" ditambahkan</w:t>
      </w:r>
      <w:r>
        <w:rPr/>
        <w:t xml:space="preserve"> — konvensi angka, status, dan penanganan hal sensitif.</w:t>
      </w:r>
    </w:p>
    <w:p>
      <w:pPr>
        <w:pStyle w:val="Compact"/>
        <w:numPr>
          <w:ilvl w:val="0"/>
          <w:numId w:val="1"/>
        </w:numPr>
        <w:rPr/>
      </w:pPr>
      <w:r>
        <w:rPr>
          <w:b/>
          <w:bCs/>
        </w:rPr>
        <w:t>Arc42 §11 diperluas menjadi daftar utang teknis</w:t>
      </w:r>
      <w:r>
        <w:rPr/>
        <w:t xml:space="preserve"> dengan gejala, dampak, dan arah penanganan, serta ajakan menautkan tiket.</w:t>
      </w:r>
    </w:p>
    <w:p>
      <w:pPr>
        <w:pStyle w:val="Compact"/>
        <w:numPr>
          <w:ilvl w:val="0"/>
          <w:numId w:val="1"/>
        </w:numPr>
        <w:rPr/>
      </w:pPr>
      <w:r>
        <w:rPr>
          <w:b/>
          <w:bCs/>
        </w:rPr>
        <w:t>Diátaxis pada panduan pengguna</w:t>
      </w:r>
      <w:r>
        <w:rPr/>
        <w:t xml:space="preserve"> — ditambahkan </w:t>
      </w:r>
      <w:r>
        <w:rPr>
          <w:b/>
          <w:bCs/>
        </w:rPr>
        <w:t>tutorial 5 menit</w:t>
      </w:r>
      <w:r>
        <w:rPr/>
        <w:t xml:space="preserve"> (§2.1) dan </w:t>
      </w:r>
      <w:r>
        <w:rPr>
          <w:b/>
          <w:bCs/>
        </w:rPr>
        <w:t>peta tugas menurut peran</w:t>
      </w:r>
      <w:r>
        <w:rPr/>
        <w:t xml:space="preserve"> (§4.5) sebagai jembatan tutorial → tugas → rujukan.</w:t>
      </w:r>
    </w:p>
    <w:p>
      <w:pPr>
        <w:pStyle w:val="Compact"/>
        <w:numPr>
          <w:ilvl w:val="0"/>
          <w:numId w:val="1"/>
        </w:numPr>
        <w:rPr/>
      </w:pPr>
      <w:r>
        <w:rPr>
          <w:b/>
          <w:bCs/>
        </w:rPr>
        <w:t>Pemisahan peran</w:t>
      </w:r>
      <w:r>
        <w:rPr/>
        <w:t xml:space="preserve"> — buklet Guru berdiri sendiri; buklet peran lain direncanakan dengan pola sama.</w:t>
      </w:r>
    </w:p>
    <w:p>
      <w:pPr>
        <w:pStyle w:val="Compact"/>
        <w:numPr>
          <w:ilvl w:val="0"/>
          <w:numId w:val="1"/>
        </w:numPr>
        <w:rPr/>
      </w:pPr>
      <w:r>
        <w:rPr>
          <w:b/>
          <w:bCs/>
        </w:rPr>
        <w:t>Perbaikan pada skrip skill</w:t>
      </w:r>
      <w:r>
        <w:rPr/>
        <w:t xml:space="preserve"> (ditemukan saat menjalankan ulang di lingkungan ini, commit </w:t>
      </w:r>
      <w:r>
        <w:rPr>
          <w:rStyle w:val="VerbatimChar"/>
        </w:rPr>
        <w:t>aefc719</w:t>
      </w:r>
      <w:r>
        <w:rPr/>
        <w:t>):</w:t>
      </w:r>
    </w:p>
    <w:p>
      <w:pPr>
        <w:pStyle w:val="Compact"/>
        <w:numPr>
          <w:ilvl w:val="1"/>
          <w:numId w:val="2"/>
        </w:numPr>
        <w:rPr/>
      </w:pPr>
      <w:r>
        <w:rPr>
          <w:rStyle w:val="VerbatimChar"/>
        </w:rPr>
        <w:t>build_docs.py</w:t>
      </w:r>
      <w:r>
        <w:rPr/>
        <w:t xml:space="preserve"> memanggil mermaid-cli dengan bendera </w:t>
      </w:r>
      <w:r>
        <w:rPr>
          <w:rStyle w:val="VerbatimChar"/>
        </w:rPr>
        <w:t>-w</w:t>
      </w:r>
      <w:r>
        <w:rPr/>
        <w:t xml:space="preserve">; versi terpasang (12.x) tidak mengenal </w:t>
      </w:r>
      <w:r>
        <w:rPr>
          <w:rStyle w:val="VerbatimChar"/>
        </w:rPr>
        <w:t>-w</w:t>
      </w:r>
      <w:r>
        <w:rPr/>
        <w:t xml:space="preserve"> dan </w:t>
      </w:r>
      <w:r>
        <w:rPr>
          <w:b/>
          <w:bCs/>
        </w:rPr>
        <w:t>seluruh diagram gagal dirender</w:t>
      </w:r>
      <w:r>
        <w:rPr/>
        <w:t xml:space="preserve"> ("unknown option '-w'"). Diganti </w:t>
      </w:r>
      <w:r>
        <w:rPr>
          <w:rStyle w:val="VerbatimChar"/>
        </w:rPr>
        <w:t>--size</w:t>
      </w:r>
      <w:r>
        <w:rPr/>
        <w:t>, dan diuji ulang: diagram dirender.</w:t>
      </w:r>
    </w:p>
    <w:p>
      <w:pPr>
        <w:pStyle w:val="Compact"/>
        <w:numPr>
          <w:ilvl w:val="1"/>
          <w:numId w:val="2"/>
        </w:numPr>
        <w:rPr/>
      </w:pPr>
      <w:r>
        <w:rPr/>
        <w:t xml:space="preserve">Keterangan diagram dari </w:t>
      </w:r>
      <w:r>
        <w:rPr>
          <w:rStyle w:val="VerbatimChar"/>
        </w:rPr>
        <w:t>%% caption:</w:t>
      </w:r>
      <w:r>
        <w:rPr/>
        <w:t xml:space="preserve"> tidak pernah muncul di </w:t>
      </w:r>
      <w:r>
        <w:rPr>
          <w:rStyle w:val="VerbatimChar"/>
        </w:rPr>
        <w:t>.docx</w:t>
      </w:r>
      <w:r>
        <w:rPr/>
        <w:t xml:space="preserve"> karena pandoc dengan pembaca </w:t>
      </w:r>
      <w:r>
        <w:rPr>
          <w:rStyle w:val="VerbatimChar"/>
        </w:rPr>
        <w:t>commonmark_x</w:t>
      </w:r>
      <w:r>
        <w:rPr/>
        <w:t xml:space="preserve"> membuang keterangan gambar. Kini keterangan ditulis eksplisit setelah gambar.</w:t>
      </w:r>
    </w:p>
    <w:p>
      <w:pPr>
        <w:pStyle w:val="Compact"/>
        <w:numPr>
          <w:ilvl w:val="1"/>
          <w:numId w:val="2"/>
        </w:numPr>
        <w:rPr/>
      </w:pPr>
      <w:r>
        <w:rPr/>
        <w:t xml:space="preserve">Angka diukur ulang dengan </w:t>
      </w:r>
      <w:r>
        <w:rPr>
          <w:rStyle w:val="VerbatimChar"/>
        </w:rPr>
        <w:t>collect_facts.py</w:t>
      </w:r>
      <w:r>
        <w:rPr/>
        <w:t xml:space="preserve"> pada commit </w:t>
      </w:r>
      <w:r>
        <w:rPr>
          <w:rStyle w:val="VerbatimChar"/>
        </w:rPr>
        <w:t>aefc719</w:t>
      </w:r>
      <w:r>
        <w:rPr/>
        <w:t xml:space="preserve"> (worktree bersih) dan </w:t>
      </w:r>
      <w:r>
        <w:rPr>
          <w:b/>
          <w:bCs/>
        </w:rPr>
        <w:t>cocok persis</w:t>
      </w:r>
      <w:r>
        <w:rPr/>
        <w:t xml:space="preserve"> dengan yang tertulis di dokumen (93 modul, 289 model, 53 kode peran, 435 halaman).</w:t>
      </w:r>
    </w:p>
    <w:p>
      <w:pPr>
        <w:pStyle w:val="Heading1"/>
        <w:rPr/>
      </w:pPr>
      <w:bookmarkStart w:id="10" w:name="__RefHeading___Toc1213_1656736513"/>
      <w:bookmarkEnd w:id="10"/>
      <w:r>
        <w:rPr/>
        <w:t>5. Yang belum dikerjakan (usulan lanjutan)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4481"/>
        <w:gridCol w:w="3534"/>
        <w:gridCol w:w="1055"/>
      </w:tblGrid>
      <w:tr>
        <w:trPr>
          <w:tblHeader w:val="true"/>
          <w:cantSplit w:val="true"/>
        </w:trPr>
        <w:tc>
          <w:tcPr>
            <w:tcW w:w="448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Usulan</w:t>
            </w:r>
          </w:p>
        </w:tc>
        <w:tc>
          <w:tcPr>
            <w:tcW w:w="353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Alasan</w:t>
            </w:r>
          </w:p>
        </w:tc>
        <w:tc>
          <w:tcPr>
            <w:tcW w:w="105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Prioritas</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Buklet peran lainnya (sekolah, pesantren, administrasi, kepemimpinan, tata kelola, wali, santri)</w:t>
            </w:r>
          </w:p>
        </w:tc>
        <w:tc>
          <w:tcPr>
            <w:tcW w:w="353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Menutup seluruh pembaca</w:t>
            </w:r>
          </w:p>
        </w:tc>
        <w:tc>
          <w:tcPr>
            <w:tcW w:w="105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Tinggi</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Naikkan tingkat verifikasi ke T1</w:t>
            </w:r>
          </w:p>
        </w:tc>
        <w:tc>
          <w:tcPr>
            <w:tcW w:w="353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T2 hanya dari kode; perlu uji pada aplikasi berjalan</w:t>
            </w:r>
          </w:p>
        </w:tc>
        <w:tc>
          <w:tcPr>
            <w:tcW w:w="10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Tinggi</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Alur CI pembangun dokumen</w:t>
            </w:r>
          </w:p>
        </w:tc>
        <w:tc>
          <w:tcPr>
            <w:tcW w:w="353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Mencegah dokumen basi (docs-as-code)</w:t>
            </w:r>
          </w:p>
        </w:tc>
        <w:tc>
          <w:tcPr>
            <w:tcW w:w="10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dapodik</w:t>
            </w:r>
            <w:r>
              <w:rPr>
                <w:kern w:val="0"/>
                <w:sz w:val="19"/>
                <w:szCs w:val="24"/>
                <w:lang w:val="en-US" w:eastAsia="en-US" w:bidi="ar-SA"/>
              </w:rPr>
              <w:t>/</w:t>
            </w:r>
            <w:r>
              <w:rPr>
                <w:rStyle w:val="VerbatimChar"/>
                <w:kern w:val="0"/>
                <w:sz w:val="19"/>
                <w:szCs w:val="24"/>
                <w:lang w:val="en-US" w:eastAsia="en-US" w:bidi="ar-SA"/>
              </w:rPr>
              <w:t>emis</w:t>
            </w:r>
            <w:r>
              <w:rPr>
                <w:kern w:val="0"/>
                <w:sz w:val="19"/>
                <w:szCs w:val="24"/>
                <w:lang w:val="en-US" w:eastAsia="en-US" w:bidi="ar-SA"/>
              </w:rPr>
              <w:t xml:space="preserve"> dan lampiran model data lengkap</w:t>
            </w:r>
          </w:p>
        </w:tc>
        <w:tc>
          <w:tcPr>
            <w:tcW w:w="353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Rujukan teknis lebih lengkap</w:t>
            </w:r>
          </w:p>
        </w:tc>
        <w:tc>
          <w:tcPr>
            <w:tcW w:w="10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Diagram C4 tingkat 3 (komponen) untuk modul inti</w:t>
            </w:r>
          </w:p>
        </w:tc>
        <w:tc>
          <w:tcPr>
            <w:tcW w:w="353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Kedalaman arsitektur</w:t>
            </w:r>
          </w:p>
        </w:tc>
        <w:tc>
          <w:tcPr>
            <w:tcW w:w="10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Rendah</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Tangkapan layar nyata pada kartu tugas</w:t>
            </w:r>
          </w:p>
        </w:tc>
        <w:tc>
          <w:tcPr>
            <w:tcW w:w="353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Membantu pembaca non-teknis</w:t>
            </w:r>
          </w:p>
        </w:tc>
        <w:tc>
          <w:tcPr>
            <w:tcW w:w="10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r>
      <w:tr>
        <w:trPr>
          <w:cantSplit w:val="true"/>
        </w:trPr>
        <w:tc>
          <w:tcPr>
            <w:tcW w:w="448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Pemeriksa tautan mati dan konsistensi istilah di CI</w:t>
            </w:r>
          </w:p>
        </w:tc>
        <w:tc>
          <w:tcPr>
            <w:tcW w:w="353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Mutu berkelanjutan</w:t>
            </w:r>
          </w:p>
        </w:tc>
        <w:tc>
          <w:tcPr>
            <w:tcW w:w="10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Sedang</w:t>
            </w:r>
            <w:bookmarkStart w:id="11" w:name="X39b6104c2f19e20621aacbbe672b8ac9d96b5c2"/>
            <w:bookmarkEnd w:id="11"/>
          </w:p>
        </w:tc>
      </w:tr>
    </w:tbl>
    <w:p>
      <w:pPr>
        <w:pStyle w:val="Heading1"/>
        <w:rPr/>
      </w:pPr>
      <w:bookmarkStart w:id="12" w:name="__RefHeading___Toc1215_1656736513"/>
      <w:bookmarkEnd w:id="12"/>
      <w:r>
        <w:rPr/>
        <w:t>6. Kesimpulan</w:t>
      </w:r>
    </w:p>
    <w:p>
      <w:pPr>
        <w:pStyle w:val="FirstParagraph"/>
        <w:spacing w:lineRule="auto" w:line="276" w:before="0" w:after="140"/>
        <w:rPr/>
      </w:pPr>
      <w:r>
        <w:rPr/>
        <w:t xml:space="preserve">Dokumen teknis mengikuti </w:t>
      </w:r>
      <w:r>
        <w:rPr>
          <w:b/>
          <w:bCs/>
        </w:rPr>
        <w:t>arc42 + C4</w:t>
      </w:r>
      <w:r>
        <w:rPr/>
        <w:t xml:space="preserve"> dengan skenario runtime yang dapat ditelusuri dan daftar keputusan tertaut; panduan pengguna mengikuti </w:t>
      </w:r>
      <w:r>
        <w:rPr>
          <w:b/>
          <w:bCs/>
        </w:rPr>
        <w:t>Diátaxis</w:t>
      </w:r>
      <w:r>
        <w:rPr/>
        <w:t xml:space="preserve"> dengan pemisahan tegas antara tutorial, tugas, dan rujukan. Keduanya menerapkan </w:t>
      </w:r>
      <w:r>
        <w:rPr>
          <w:b/>
          <w:bCs/>
        </w:rPr>
        <w:t>docs-as-code</w:t>
      </w:r>
      <w:r>
        <w:rPr/>
        <w:t xml:space="preserve"> (sumber Markdown, dibangun skrip, angka terlacak ke commit) dan menjaga data sensitif di luar dokumen. Celah yang tersisa bersifat kelengkapan (buklet peran lain, tingkat verifikasi, integrasi CI), bukan penyimpangan dari standar.</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720" w:top="1361" w:footer="720" w:bottom="1247"/>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777777"/>
        <w:sz w:val="17"/>
      </w:rPr>
      <w:t xml:space="preserve">Yayasan Pesantren Cipansor · v0.1 · Halaman </w:t>
    </w:r>
    <w:r>
      <w:rPr>
        <w:color w:val="777777"/>
        <w:sz w:val="17"/>
      </w:rPr>
      <w:fldChar w:fldCharType="begin"/>
    </w:r>
    <w:r>
      <w:rPr>
        <w:sz w:val="17"/>
        <w:color w:val="777777"/>
      </w:rPr>
      <w:instrText xml:space="preserve"> PAGE </w:instrText>
    </w:r>
    <w:r>
      <w:rPr>
        <w:sz w:val="17"/>
        <w:color w:val="777777"/>
      </w:rPr>
      <w:fldChar w:fldCharType="separate"/>
    </w:r>
    <w:r>
      <w:rPr>
        <w:sz w:val="17"/>
        <w:color w:val="777777"/>
      </w:rPr>
      <w:t>6</w:t>
    </w:r>
    <w:r>
      <w:rPr>
        <w:sz w:val="17"/>
        <w:color w:val="777777"/>
      </w:rPr>
      <w:fldChar w:fldCharType="end"/>
    </w:r>
    <w:r>
      <w:rPr>
        <w:color w:val="777777"/>
        <w:sz w:val="17"/>
      </w:rPr>
      <w:t xml:space="preserve"> dari </w:t>
    </w:r>
    <w:r>
      <w:rPr>
        <w:color w:val="777777"/>
        <w:sz w:val="17"/>
      </w:rPr>
      <w:fldChar w:fldCharType="begin"/>
    </w:r>
    <w:r>
      <w:rPr>
        <w:sz w:val="17"/>
        <w:color w:val="777777"/>
      </w:rPr>
      <w:instrText xml:space="preserve"> NUMPAGES </w:instrText>
    </w:r>
    <w:r>
      <w:rPr>
        <w:sz w:val="17"/>
        <w:color w:val="777777"/>
      </w:rPr>
      <w:fldChar w:fldCharType="separate"/>
    </w:r>
    <w:r>
      <w:rPr>
        <w:sz w:val="17"/>
        <w:color w:val="777777"/>
      </w:rPr>
      <w:t>6</w:t>
    </w:r>
    <w:r>
      <w:rPr>
        <w:sz w:val="17"/>
        <w:color w:val="77777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BBBBBB"/>
      </w:pBdr>
      <w:spacing w:before="0" w:after="200"/>
      <w:jc w:val="right"/>
      <w:rPr/>
    </w:pPr>
    <w:r>
      <w:rPr>
        <w:color w:val="777777"/>
        <w:sz w:val="17"/>
      </w:rPr>
      <w:t>Evaluasi Dokumen Aplikasi — Sistem Informasi Cipansor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Calibri"/>
      <w:color w:val="222222"/>
      <w:kern w:val="0"/>
      <w:sz w:val="22"/>
      <w:szCs w:val="24"/>
      <w:lang w:val="en-US" w:eastAsia="en-US" w:bidi="ar-SA"/>
    </w:rPr>
  </w:style>
  <w:style w:type="paragraph" w:styleId="Heading1">
    <w:name w:val="heading 1"/>
    <w:basedOn w:val="Normal"/>
    <w:next w:val="BodyText"/>
    <w:uiPriority w:val="9"/>
    <w:qFormat/>
    <w:pPr>
      <w:keepNext w:val="true"/>
      <w:keepLines/>
      <w:spacing w:before="400" w:after="160"/>
      <w:outlineLvl w:val="0"/>
    </w:pPr>
    <w:rPr>
      <w:rFonts w:ascii="Calibri" w:hAnsi="Calibri" w:eastAsia="Calibri" w:cs="Calibri"/>
      <w:b/>
      <w:bCs/>
      <w:color w:val="0B5D3B"/>
      <w:sz w:val="36"/>
      <w:szCs w:val="32"/>
    </w:rPr>
  </w:style>
  <w:style w:type="paragraph" w:styleId="Heading2">
    <w:name w:val="heading 2"/>
    <w:basedOn w:val="Normal"/>
    <w:next w:val="BodyText"/>
    <w:uiPriority w:val="9"/>
    <w:unhideWhenUsed/>
    <w:qFormat/>
    <w:pPr>
      <w:keepNext w:val="true"/>
      <w:keepLines/>
      <w:spacing w:before="280" w:after="120"/>
      <w:outlineLvl w:val="1"/>
    </w:pPr>
    <w:rPr>
      <w:rFonts w:ascii="Calibri" w:hAnsi="Calibri" w:eastAsia="Calibri" w:cs="Calibri"/>
      <w:b/>
      <w:bCs/>
      <w:color w:val="0B5D3B"/>
      <w:sz w:val="28"/>
      <w:szCs w:val="28"/>
    </w:rPr>
  </w:style>
  <w:style w:type="paragraph" w:styleId="Heading3">
    <w:name w:val="heading 3"/>
    <w:basedOn w:val="Normal"/>
    <w:next w:val="BodyText"/>
    <w:uiPriority w:val="9"/>
    <w:unhideWhenUsed/>
    <w:qFormat/>
    <w:pPr>
      <w:keepNext w:val="true"/>
      <w:keepLines/>
      <w:spacing w:before="200" w:after="80"/>
      <w:outlineLvl w:val="2"/>
    </w:pPr>
    <w:rPr>
      <w:rFonts w:ascii="Calibri" w:hAnsi="Calibri" w:eastAsia="Calibri" w:cs="Calibri"/>
      <w:b/>
      <w:bCs/>
      <w:color w:val="0B5D3B"/>
      <w:sz w:val="24"/>
      <w:szCs w:val="24"/>
    </w:rPr>
  </w:style>
  <w:style w:type="paragraph" w:styleId="Heading4">
    <w:name w:val="heading 4"/>
    <w:basedOn w:val="Normal"/>
    <w:next w:val="BodyText"/>
    <w:uiPriority w:val="9"/>
    <w:unhideWhenUsed/>
    <w:qFormat/>
    <w:pPr>
      <w:keepNext w:val="true"/>
      <w:keepLines/>
      <w:spacing w:before="160" w:after="60"/>
      <w:outlineLvl w:val="3"/>
    </w:pPr>
    <w:rPr>
      <w:rFonts w:ascii="Calibri" w:hAnsi="Calibri" w:eastAsia="Calibri" w:cs="Calibri"/>
      <w:b/>
      <w:bCs/>
      <w:i/>
      <w:color w:val="0B5D3B"/>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color w:val="333333"/>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Calibri" w:hAnsi="Calibri" w:eastAsia="Calibri" w:cs="Calibri"/>
      <w:color w:val="0B5D3B"/>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lineRule="auto" w:line="276" w:before="0" w:after="140"/>
    </w:pPr>
    <w:rPr>
      <w:rFonts w:ascii="Calibri" w:hAnsi="Calibri" w:eastAsia="Calibri" w:cs="Calibri"/>
      <w:color w:val="222222"/>
      <w:sz w:val="22"/>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spacing w:lineRule="auto" w:line="276" w:before="0" w:after="140"/>
    </w:pPr>
    <w:rPr>
      <w:rFonts w:ascii="Calibri" w:hAnsi="Calibri" w:eastAsia="Calibri" w:cs="Calibri"/>
      <w:color w:val="222222"/>
      <w:sz w:val="22"/>
    </w:rPr>
  </w:style>
  <w:style w:type="paragraph" w:styleId="Compact" w:customStyle="1">
    <w:name w:val="Compact"/>
    <w:basedOn w:val="BodyText"/>
    <w:qFormat/>
    <w:pPr>
      <w:spacing w:before="20" w:after="20"/>
    </w:pPr>
    <w:rPr>
      <w:rFonts w:ascii="Calibri" w:hAnsi="Calibri" w:eastAsia="Calibri" w:cs="Calibri"/>
      <w:color w:val="222222"/>
      <w:sz w:val="22"/>
    </w:rPr>
  </w:style>
  <w:style w:type="paragraph" w:styleId="Title">
    <w:name w:val="Title"/>
    <w:basedOn w:val="Normal"/>
    <w:next w:val="BodyText"/>
    <w:qFormat/>
    <w:pPr>
      <w:keepNext w:val="true"/>
      <w:keepLines/>
      <w:spacing w:before="480" w:after="240"/>
      <w:jc w:val="center"/>
    </w:pPr>
    <w:rPr>
      <w:rFonts w:ascii="Calibri" w:hAnsi="Calibri" w:eastAsia="Calibri" w:cs="Calibri"/>
      <w:b/>
      <w:bCs/>
      <w:color w:val="0B5D3B"/>
      <w:sz w:val="56"/>
      <w:szCs w:val="36"/>
    </w:rPr>
  </w:style>
  <w:style w:type="paragraph" w:styleId="Subtitle">
    <w:name w:val="Subtitle"/>
    <w:basedOn w:val="Title"/>
    <w:next w:val="BodyText"/>
    <w:qFormat/>
    <w:pPr>
      <w:keepNext w:val="true"/>
      <w:keepLines/>
      <w:spacing w:before="240" w:after="240"/>
      <w:jc w:val="center"/>
    </w:pPr>
    <w:rPr>
      <w:rFonts w:ascii="Calibri" w:hAnsi="Calibri" w:eastAsia="Calibri" w:cs="Calibri"/>
      <w:color w:val="555555"/>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pBdr>
        <w:left w:val="single" w:sz="24" w:space="8" w:color="0B5D3B"/>
      </w:pBdr>
      <w:shd w:val="clear" w:color="auto" w:fill="EEF6F1"/>
      <w:spacing w:before="80" w:after="160"/>
      <w:ind w:hanging="0" w:left="283" w:right="170"/>
    </w:pPr>
    <w:rPr>
      <w:rFonts w:ascii="Calibri" w:hAnsi="Calibri" w:eastAsia="Calibri" w:cs="Calibri"/>
      <w:color w:val="1F3D2F"/>
      <w:sz w:val="21"/>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before="160" w:after="60"/>
    </w:pPr>
    <w:rPr>
      <w:rFonts w:ascii="Calibri" w:hAnsi="Calibri" w:eastAsia="Calibri" w:cs="Calibri"/>
      <w:i/>
      <w:color w:val="555555"/>
      <w:sz w:val="19"/>
    </w:rPr>
  </w:style>
  <w:style w:type="paragraph" w:styleId="ImageCaption" w:customStyle="1">
    <w:name w:val="Image Caption"/>
    <w:basedOn w:val="Caption"/>
    <w:qFormat/>
    <w:pPr>
      <w:spacing w:before="40" w:after="200"/>
    </w:pPr>
    <w:rPr>
      <w:rFonts w:ascii="Calibri" w:hAnsi="Calibri" w:eastAsia="Calibri" w:cs="Calibri"/>
      <w:i/>
      <w:color w:val="555555"/>
      <w:sz w:val="19"/>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60"/>
      <w:outlineLvl w:val="9"/>
    </w:pPr>
    <w:rPr>
      <w:rFonts w:ascii="Calibri" w:hAnsi="Calibri" w:eastAsia="Calibri" w:cs="Calibri"/>
      <w:b/>
      <w:bCs w:val="false"/>
      <w:color w:val="0B5D3B"/>
      <w:sz w:val="36"/>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2" w:leader="dot"/>
      </w:tabs>
      <w:spacing w:before="0" w:after="40"/>
      <w:ind w:hanging="0" w:left="0"/>
    </w:pPr>
    <w:rPr/>
  </w:style>
  <w:style w:type="paragraph" w:styleId="TOC2">
    <w:name w:val="toc 2"/>
    <w:basedOn w:val="Index"/>
    <w:pPr>
      <w:tabs>
        <w:tab w:val="clear" w:pos="720"/>
        <w:tab w:val="right" w:pos="8789" w:leader="dot"/>
      </w:tabs>
      <w:spacing w:before="0" w:after="40"/>
      <w:ind w:hanging="0" w:left="283"/>
    </w:pPr>
    <w:rPr/>
  </w:style>
  <w:style w:type="paragraph" w:styleId="TOC3">
    <w:name w:val="toc 3"/>
    <w:basedOn w:val="Index"/>
    <w:pPr>
      <w:tabs>
        <w:tab w:val="clear" w:pos="720"/>
        <w:tab w:val="right" w:pos="8505" w:leader="dot"/>
      </w:tabs>
      <w:spacing w:before="0" w:after="40"/>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LibreOffice/25.2.3.2$Linux_X86_64 LibreOffice_project/520$Build-2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2026-09-29T13:10:00Z</dcterms:created>
  <dc:creator>Agen OpenHands</dc:creator>
  <dc:description/>
  <dc:language>id-ID</dc:language>
  <cp:lastModifiedBy/>
  <dcterms:modified xsi:type="dcterms:W3CDTF">2026-09-29T13:10:11Z</dcterms:modified>
  <cp:revision>1</cp:revision>
  <dc:subject/>
  <dc:title>Evaluasi Dokumen Aplikasi — Sistem Informasi Cipansor</dc:title>
</cp:coreProperties>
</file>

<file path=docProps/custom.xml><?xml version="1.0" encoding="utf-8"?>
<Properties xmlns="http://schemas.openxmlformats.org/officeDocument/2006/custom-properties" xmlns:vt="http://schemas.openxmlformats.org/officeDocument/2006/docPropsVTypes"/>
</file>