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4.png" ContentType="image/png"/>
  <Override PartName="/word/media/rId28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48.png" ContentType="image/png"/>
  <Override PartName="/word/media/rId5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券商金股是指路明灯还是韭菜指南"/>
    <w:p>
      <w:pPr>
        <w:pStyle w:val="Heading1"/>
      </w:pPr>
      <w:r>
        <w:rPr>
          <w:rFonts w:hint="eastAsia"/>
        </w:rPr>
        <w:t xml:space="preserve">券商金股是“指路明灯”还是“韭菜指南”？</w:t>
      </w:r>
    </w:p>
    <w:p>
      <w:pPr>
        <w:pStyle w:val="FirstParagraph"/>
      </w:pPr>
      <w:r>
        <w:rPr>
          <w:rFonts w:hint="eastAsia"/>
          <w:b/>
          <w:bCs/>
        </w:rPr>
        <w:t xml:space="preserve">面向投资者的金股跟投研究报告</w:t>
      </w:r>
      <w:r>
        <w:br/>
      </w:r>
      <w:r>
        <w:rPr>
          <w:rFonts w:hint="eastAsia"/>
          <w:b/>
          <w:bCs/>
        </w:rPr>
        <w:t xml:space="preserve">研究区间：2025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月至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月，严格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个月口径</w:t>
      </w:r>
    </w:p>
    <w:bookmarkStart w:id="9" w:name="作业要求对照"/>
    <w:p>
      <w:pPr>
        <w:pStyle w:val="Heading2"/>
      </w:pPr>
      <w:r>
        <w:rPr>
          <w:rFonts w:hint="eastAsia"/>
        </w:rPr>
        <w:t xml:space="preserve">作业要求对照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本版如何落实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决策主体与研究目标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说明报告面向个人投资者/小型机构，回答金股能否跟投、头部是否更强、抱团是否有风险。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政策/市场背景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补充资本市场新“国九条”、券商分类评价制度、科技成长牛市和创业板强基准。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数据来源与处理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说明数据来源、12</w:t>
            </w:r>
            <w:r>
              <w:t xml:space="preserve"> </w:t>
            </w:r>
            <w:r>
              <w:rPr>
                <w:rFonts w:hint="eastAsia"/>
              </w:rPr>
              <w:t xml:space="preserve">个月清洗口径、组合收益、行业基准、风格指标和现实交易差异。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统计事实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5-8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覆盖规模分布、行业结构、月度趋势、梯队对比、抱团对比、创业板基准对比。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初步结论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用数据回答“金股有效吗、谁受影响、还有什么没回答”。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局限性说明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说明数据、方法和适用范围限制。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加分项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新增回归分析和事件研究，检验收益来源与拥挤风险。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这张对照表的作用是让读者先知道：本文不是单纯展示图表，而是按“帮谁决策、在什么背景下、用哪些统计事实、得到什么结论、还有什么局限”这条作业主线展开。加分项也不是口头展望，而是在第</w:t>
      </w:r>
      <w:r>
        <w:t xml:space="preserve"> 10 </w:t>
      </w:r>
      <w:r>
        <w:rPr>
          <w:rFonts w:hint="eastAsia"/>
        </w:rPr>
        <w:t xml:space="preserve">节给出可复现的回归与事件研究。</w:t>
      </w:r>
    </w:p>
    <w:bookmarkEnd w:id="9"/>
    <w:bookmarkStart w:id="13" w:name="投资要点"/>
    <w:p>
      <w:pPr>
        <w:pStyle w:val="Heading2"/>
      </w:pPr>
      <w:r>
        <w:rPr>
          <w:rFonts w:hint="eastAsia"/>
        </w:rPr>
        <w:t xml:space="preserve">投资要点</w:t>
      </w:r>
    </w:p>
    <w:p>
      <w:pPr>
        <w:pStyle w:val="CaptionedFigure"/>
      </w:pPr>
      <w:r>
        <w:drawing>
          <wp:inline>
            <wp:extent cx="5334000" cy="2373862"/>
            <wp:effectExtent b="0" l="0" r="0" t="0"/>
            <wp:docPr descr="投资者一页看懂" title="" id="11" name="Picture"/>
            <a:graphic>
              <a:graphicData uri="http://schemas.openxmlformats.org/drawingml/2006/picture">
                <pic:pic>
                  <pic:nvPicPr>
                    <pic:cNvPr descr="outputs/report_figures/fig0_investor_dashboar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投资者一页看懂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不能无脑跟投，但也不是反向指标。</w:t>
      </w:r>
      <w:r>
        <w:t xml:space="preserve"> </w:t>
      </w:r>
      <w:r>
        <w:rPr>
          <w:rFonts w:hint="eastAsia"/>
        </w:rPr>
        <w:t xml:space="preserve">六家券商金股</w:t>
      </w:r>
      <w:r>
        <w:t xml:space="preserve"> 12 </w:t>
      </w:r>
      <w:r>
        <w:rPr>
          <w:rFonts w:hint="eastAsia"/>
        </w:rPr>
        <w:t xml:space="preserve">个月平均相对行业指数超额收益为</w:t>
      </w:r>
      <w:r>
        <w:t xml:space="preserve"> </w:t>
      </w:r>
      <w:r>
        <w:rPr>
          <w:rFonts w:hint="eastAsia"/>
        </w:rPr>
        <w:t xml:space="preserve">+1.53%，说明“金股”确实包含一定选股信息；但这种收益很大一部分来自科技成长行情和热门赛道暴露，不等于任何市场都有效。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如果把创业板指作为更严格基准，结论明显降温。</w:t>
      </w:r>
      <w:r>
        <w:t xml:space="preserve"> </w:t>
      </w:r>
      <w:r>
        <w:rPr>
          <w:rFonts w:hint="eastAsia"/>
        </w:rPr>
        <w:t xml:space="preserve">上证指数同期累计收益</w:t>
      </w:r>
      <w:r>
        <w:t xml:space="preserve"> </w:t>
      </w:r>
      <w:r>
        <w:rPr>
          <w:rFonts w:hint="eastAsia"/>
        </w:rPr>
        <w:t xml:space="preserve">+25.41%，创业板指累计收益</w:t>
      </w:r>
      <w:r>
        <w:t xml:space="preserve"> </w:t>
      </w:r>
      <w:r>
        <w:rPr>
          <w:rFonts w:hint="eastAsia"/>
        </w:rPr>
        <w:t xml:space="preserve">+88.76%。六家券商全部跑赢上证，但只有</w:t>
      </w:r>
      <w:r>
        <w:t xml:space="preserve"> 1 </w:t>
      </w:r>
      <w:r>
        <w:rPr>
          <w:rFonts w:hint="eastAsia"/>
        </w:rPr>
        <w:t xml:space="preserve">家跑赢创业板指：华泰证券。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头部券商整体更强，但不是简单规模决定一切。</w:t>
      </w:r>
      <w:r>
        <w:t xml:space="preserve"> </w:t>
      </w:r>
      <w:r>
        <w:rPr>
          <w:rFonts w:hint="eastAsia"/>
        </w:rPr>
        <w:t xml:space="preserve">头部组平均行业超额收益为</w:t>
      </w:r>
      <w:r>
        <w:t xml:space="preserve"> </w:t>
      </w:r>
      <w:r>
        <w:rPr>
          <w:rFonts w:hint="eastAsia"/>
        </w:rPr>
        <w:t xml:space="preserve">+2.19%，高于腰部和尾部；但招商证券作为腰部组收益排名第二，说明投资者不能只看券商名气，还要看它在当期风格中的选股能力。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抱团推荐非常明显，且主要集中在科技股。</w:t>
      </w:r>
      <w:r>
        <w:t xml:space="preserve"> </w:t>
      </w:r>
      <w:r>
        <w:t xml:space="preserve">Top10 </w:t>
      </w:r>
      <w:r>
        <w:rPr>
          <w:rFonts w:hint="eastAsia"/>
        </w:rPr>
        <w:t xml:space="preserve">抱团股占全部推荐记录</w:t>
      </w:r>
      <w:r>
        <w:t xml:space="preserve"> </w:t>
      </w:r>
      <w:r>
        <w:rPr>
          <w:rFonts w:hint="eastAsia"/>
        </w:rPr>
        <w:t xml:space="preserve">18.7%，其中信息技术类抱团股占</w:t>
      </w:r>
      <w:r>
        <w:t xml:space="preserve"> Top10 </w:t>
      </w:r>
      <w:r>
        <w:rPr>
          <w:rFonts w:hint="eastAsia"/>
        </w:rPr>
        <w:t xml:space="preserve">推荐次数的</w:t>
      </w:r>
      <w:r>
        <w:t xml:space="preserve"> </w:t>
      </w:r>
      <w:r>
        <w:rPr>
          <w:rFonts w:hint="eastAsia"/>
        </w:rPr>
        <w:t xml:space="preserve">66.0%。这既可能代表机构共识，也可能放大拥挤交易。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最大的风险不是“买错一只股”，而是“买到同一个风格”。</w:t>
      </w:r>
      <w:r>
        <w:t xml:space="preserve"> </w:t>
      </w:r>
      <w:r>
        <w:rPr>
          <w:rFonts w:hint="eastAsia"/>
        </w:rPr>
        <w:t xml:space="preserve">信息技术、工业、材料三大行业合计占</w:t>
      </w:r>
      <w:r>
        <w:t xml:space="preserve"> </w:t>
      </w:r>
      <w:r>
        <w:rPr>
          <w:rFonts w:hint="eastAsia"/>
        </w:rPr>
        <w:t xml:space="preserve">62.5%；六家券商成长股占比均超过</w:t>
      </w:r>
      <w:r>
        <w:t xml:space="preserve"> </w:t>
      </w:r>
      <w:r>
        <w:rPr>
          <w:rFonts w:hint="eastAsia"/>
        </w:rPr>
        <w:t xml:space="preserve">60%。当科技成长行情转弱时，组合会一起回撤。</w:t>
      </w:r>
    </w:p>
    <w:bookmarkEnd w:id="13"/>
    <w:bookmarkStart w:id="14" w:name="这份报告帮谁做决策"/>
    <w:p>
      <w:pPr>
        <w:pStyle w:val="Heading2"/>
      </w:pPr>
      <w:r>
        <w:t xml:space="preserve">1. </w:t>
      </w:r>
      <w:r>
        <w:rPr>
          <w:rFonts w:hint="eastAsia"/>
        </w:rPr>
        <w:t xml:space="preserve">这份报告帮谁做决策？</w:t>
      </w:r>
    </w:p>
    <w:p>
      <w:pPr>
        <w:pStyle w:val="FirstParagraph"/>
      </w:pPr>
      <w:r>
        <w:rPr>
          <w:rFonts w:hint="eastAsia"/>
        </w:rPr>
        <w:t xml:space="preserve">这份报告服务的是普通个人投资者和小型投资机构。投资者每个月看到券商金股名单时，真正纠结的不是“报告写得好不好”，而是三个更现实的问题：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金股能不能直接买？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头部券商是不是一定更值得跟？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多家券商反复推荐的热门科技股，到底是好机会还是高位接盘风险？</w:t>
      </w:r>
    </w:p>
    <w:p>
      <w:pPr>
        <w:pStyle w:val="FirstParagraph"/>
      </w:pPr>
      <w:r>
        <w:rPr>
          <w:rFonts w:hint="eastAsia"/>
        </w:rPr>
        <w:t xml:space="preserve">因此，本报告不把金股当作神秘的“专家答案”，而是把它拆成四个投资者能看懂的维度：</w:t>
      </w:r>
      <w:r>
        <w:rPr>
          <w:rFonts w:hint="eastAsia"/>
          <w:b/>
          <w:bCs/>
        </w:rPr>
        <w:t xml:space="preserve">买了哪些行业、有没有抱团、偏成长还是偏价值、真实跟投收益能否跑赢大盘。</w:t>
      </w:r>
    </w:p>
    <w:bookmarkEnd w:id="14"/>
    <w:bookmarkStart w:id="15" w:name="为什么按头部腰部尾部券商划分"/>
    <w:p>
      <w:pPr>
        <w:pStyle w:val="Heading2"/>
      </w:pPr>
      <w:r>
        <w:t xml:space="preserve">2. </w:t>
      </w:r>
      <w:r>
        <w:rPr>
          <w:rFonts w:hint="eastAsia"/>
        </w:rPr>
        <w:t xml:space="preserve">为什么按头部、腰部、尾部券商划分？</w:t>
      </w:r>
    </w:p>
    <w:p>
      <w:pPr>
        <w:pStyle w:val="FirstParagraph"/>
      </w:pPr>
      <w:r>
        <w:rPr>
          <w:rFonts w:hint="eastAsia"/>
        </w:rPr>
        <w:t xml:space="preserve">业内有一个很常见的直觉：券商排名越靠前，研究资源越多，机构客户越强，研究能力也应当越强。这个“排名”通常不是单一榜单，而是由三类信息共同构成：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监管评价维度。</w:t>
      </w:r>
      <w:r>
        <w:t xml:space="preserve"> </w:t>
      </w:r>
      <w:r>
        <w:rPr>
          <w:rFonts w:hint="eastAsia"/>
        </w:rPr>
        <w:t xml:space="preserve">证监会对证券公司实施分类评价，评价基础包括风险管理能力、持续合规状况和业务发展状况。证监会也明确说明，分类结果主要服务审慎监管，不能简单等同于信用评级或营销标签。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经营规模维度。</w:t>
      </w:r>
      <w:r>
        <w:t xml:space="preserve"> </w:t>
      </w:r>
      <w:r>
        <w:rPr>
          <w:rFonts w:hint="eastAsia"/>
        </w:rPr>
        <w:t xml:space="preserve">总资产、净资本、营业收入、净利润等指标决定券商能投入多少研究、投行、销售和机构服务资源。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市场影响力维度。</w:t>
      </w:r>
      <w:r>
        <w:t xml:space="preserve"> </w:t>
      </w:r>
      <w:r>
        <w:rPr>
          <w:rFonts w:hint="eastAsia"/>
        </w:rPr>
        <w:t xml:space="preserve">研究覆盖、机构客户触达、投行项目、财富管理渠道和品牌影响力，都会影响金股推荐被市场关注和传播的程度。</w:t>
      </w:r>
    </w:p>
    <w:p>
      <w:pPr>
        <w:pStyle w:val="FirstParagraph"/>
      </w:pPr>
      <w:r>
        <w:rPr>
          <w:rFonts w:hint="eastAsia"/>
        </w:rPr>
        <w:t xml:space="preserve">本报告沿用小组作业的样本设计，将六家券商分为三组。需要特别说明：</w:t>
      </w:r>
      <w:r>
        <w:rPr>
          <w:rFonts w:hint="eastAsia"/>
          <w:b/>
          <w:bCs/>
        </w:rPr>
        <w:t xml:space="preserve">这里的头部、腰部、尾部是研究分组，不是监管结论，也不是对券商资信的评价。</w:t>
      </w:r>
      <w:r>
        <w:t xml:space="preserve"> </w:t>
      </w:r>
      <w:r>
        <w:rPr>
          <w:rFonts w:hint="eastAsia"/>
        </w:rPr>
        <w:t xml:space="preserve">它的作用是构造一个可检验的假设：如果“规模越大、排名越靠前、研究能力越强”成立，头部组的金股应当在行业超额收益、组合收益和风险控制上表现更好。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样本券商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为什么这样分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外部依据与解释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中信建投证券、华泰证券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代表综合实力、研究资源和机构客户覆盖更强的券商；用来检验“排名越前研究越强”的市场直觉。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两家公司在证监会</w:t>
            </w:r>
            <w:r>
              <w:t xml:space="preserve"> 2020 </w:t>
            </w:r>
            <w:r>
              <w:rPr>
                <w:rFonts w:hint="eastAsia"/>
              </w:rPr>
              <w:t xml:space="preserve">年公开分类结果中均为</w:t>
            </w:r>
            <w:r>
              <w:t xml:space="preserve"> </w:t>
            </w:r>
            <w:r>
              <w:rPr>
                <w:rFonts w:hint="eastAsia"/>
              </w:rPr>
              <w:t xml:space="preserve">AA；2024</w:t>
            </w:r>
            <w:r>
              <w:t xml:space="preserve"> </w:t>
            </w:r>
            <w:r>
              <w:rPr>
                <w:rFonts w:hint="eastAsia"/>
              </w:rPr>
              <w:t xml:space="preserve">年上市券商财务规模和盈利能力也处于前列。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招商证券、平安证券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代表大型/中型综合券商的中间对照组；不是弱券商，而是用来观察非最头部研究资源能否复制超额收益。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两家公司在证监会</w:t>
            </w:r>
            <w:r>
              <w:t xml:space="preserve"> 2020 </w:t>
            </w:r>
            <w:r>
              <w:rPr>
                <w:rFonts w:hint="eastAsia"/>
              </w:rPr>
              <w:t xml:space="preserve">年公开分类结果中为</w:t>
            </w:r>
            <w:r>
              <w:t xml:space="preserve"> </w:t>
            </w:r>
            <w:r>
              <w:rPr>
                <w:rFonts w:hint="eastAsia"/>
              </w:rPr>
              <w:t xml:space="preserve">AA，但本作业按研究样本设计将其放入中间梯队。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天风证券、开源证券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代表中小或特色券商；用来观察研究资源较少时，是否通过差异化行业覆盖获得收益。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</w:t>
            </w:r>
            <w:r>
              <w:t xml:space="preserve"> 2020 </w:t>
            </w:r>
            <w:r>
              <w:rPr>
                <w:rFonts w:hint="eastAsia"/>
              </w:rPr>
              <w:t xml:space="preserve">年公开分类结果中，天风证券为</w:t>
            </w:r>
            <w:r>
              <w:t xml:space="preserve"> </w:t>
            </w:r>
            <w:r>
              <w:rPr>
                <w:rFonts w:hint="eastAsia"/>
              </w:rPr>
              <w:t xml:space="preserve">A、开源证券为</w:t>
            </w:r>
            <w:r>
              <w:t xml:space="preserve"> </w:t>
            </w:r>
            <w:r>
              <w:rPr>
                <w:rFonts w:hint="eastAsia"/>
              </w:rPr>
              <w:t xml:space="preserve">BB，和前两组形成监管评价与规模上的梯度。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这一定义让后续结论更清楚：如果头部组显著跑赢，说明行业直觉有数据支持；如果腰部或尾部表现更好，则说明金股收益并不完全由券商规模决定，市场风格和个股选择同样关键。</w:t>
      </w:r>
    </w:p>
    <w:bookmarkEnd w:id="15"/>
    <w:bookmarkStart w:id="22" w:name="政策行业与市场背景"/>
    <w:p>
      <w:pPr>
        <w:pStyle w:val="Heading2"/>
      </w:pPr>
      <w:r>
        <w:t xml:space="preserve">3. </w:t>
      </w:r>
      <w:r>
        <w:rPr>
          <w:rFonts w:hint="eastAsia"/>
        </w:rPr>
        <w:t xml:space="preserve">政策、行业与市场背景</w:t>
      </w:r>
    </w:p>
    <w:bookmarkStart w:id="16" w:name="政策背景监管鼓励高质量发展也更重视投资者保护"/>
    <w:p>
      <w:pPr>
        <w:pStyle w:val="Heading3"/>
      </w:pPr>
      <w:r>
        <w:t xml:space="preserve">3.1 </w:t>
      </w:r>
      <w:r>
        <w:rPr>
          <w:rFonts w:hint="eastAsia"/>
        </w:rPr>
        <w:t xml:space="preserve">政策背景：监管鼓励高质量发展，也更重视投资者保护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国务院发布资本市场新“国九条”，政策主线是加强监管、防范风险、推动资本市场高质量发展。对于普通投资者而言，这意味着市场对“研报是否真正有价值”“中介机构是否勤勉尽责”“投资者是否被过度营销”会更加敏感。</w:t>
      </w:r>
    </w:p>
    <w:p>
      <w:pPr>
        <w:pStyle w:val="BodyText"/>
      </w:pPr>
      <w:r>
        <w:rPr>
          <w:rFonts w:hint="eastAsia"/>
        </w:rPr>
        <w:t xml:space="preserve">证券公司分类评价制度也在</w:t>
      </w:r>
      <w:r>
        <w:t xml:space="preserve"> 2025 </w:t>
      </w:r>
      <w:r>
        <w:rPr>
          <w:rFonts w:hint="eastAsia"/>
        </w:rPr>
        <w:t xml:space="preserve">年继续修订。证监会公告显示，关于修改《证券公司分类监管规定》的决定自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日起施行，并将制度名称调整为更突出“分类评价”的表述。这个背景与本报告有关：券商研究不是孤立存在的，它与券商合规、风控、业务发展和专业服务能力都有关。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发布时间/节点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关键条款短引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与本研究的关系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国务院：资本市场新“国九条”</w:t>
            </w:r>
          </w:p>
        </w:tc>
        <w:tc>
          <w:tcPr/>
          <w:p>
            <w:pPr>
              <w:pStyle w:val="Compact"/>
            </w:pPr>
            <w:r>
              <w:t xml:space="preserve">2024-04-12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“加强监管、防范风险、推动资本市场高质量发展”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政策目标是提高上市公司质量、强化中介机构责任、保护投资者，研究金股是否有真实投资价值正好对应这一背景。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证监会：修改《证券公司分类监管规定》的决定</w:t>
            </w:r>
          </w:p>
        </w:tc>
        <w:tc>
          <w:tcPr/>
          <w:p>
            <w:pPr>
              <w:pStyle w:val="Compact"/>
            </w:pPr>
            <w:r>
              <w:t xml:space="preserve">2025-08-22 </w:t>
            </w:r>
            <w:r>
              <w:rPr>
                <w:rFonts w:hint="eastAsia"/>
              </w:rPr>
              <w:t xml:space="preserve">起施行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“调整为《证券公司分类评价规定》”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券商分类评价强调合规、风控和业务发展，说明券商分层不是拍脑袋，而是监管和市场都会关注的能力差异。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证监会：2020</w:t>
            </w:r>
            <w:r>
              <w:t xml:space="preserve"> </w:t>
            </w:r>
            <w:r>
              <w:rPr>
                <w:rFonts w:hint="eastAsia"/>
              </w:rPr>
              <w:t xml:space="preserve">年证券公司分类结果</w:t>
            </w:r>
          </w:p>
        </w:tc>
        <w:tc>
          <w:tcPr/>
          <w:p>
            <w:pPr>
              <w:pStyle w:val="Compact"/>
            </w:pPr>
            <w:r>
              <w:t xml:space="preserve">2020-08-26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“不是对证券公司资信状况及等级的评价”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本文只把公开分类结果作为研究分层参考，不把它当作投资评级。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政策含义看，本报告并不是评价某一家券商“好不好”，而是站在投资者保护和市场高质量发展的角度，检验公开推荐是否能形成可验证的投资价值。政策越强调中介机构责任和投资者保护，投资者越需要知道：金股名单到底是帮助决策，还是在科技牛市中强化追热门的行为。</w:t>
      </w:r>
    </w:p>
    <w:bookmarkEnd w:id="16"/>
    <w:bookmarkStart w:id="17" w:name="行业背景卖方研究的争议集中体现在金股上"/>
    <w:p>
      <w:pPr>
        <w:pStyle w:val="Heading3"/>
      </w:pPr>
      <w:r>
        <w:t xml:space="preserve">3.2 </w:t>
      </w:r>
      <w:r>
        <w:rPr>
          <w:rFonts w:hint="eastAsia"/>
        </w:rPr>
        <w:t xml:space="preserve">行业背景：卖方研究的争议，集中体现在“金股”上</w:t>
      </w:r>
    </w:p>
    <w:p>
      <w:pPr>
        <w:pStyle w:val="FirstParagraph"/>
      </w:pPr>
      <w:r>
        <w:rPr>
          <w:rFonts w:hint="eastAsia"/>
        </w:rPr>
        <w:t xml:space="preserve">券商研报长期存在两种评价。支持者认为，券商研究能把产业趋势、盈利预测和估值逻辑系统化，帮助投资者节省研究成本；质疑者则认为，卖方研究天然服务交易和机构客户，研报普遍偏乐观，金股容易变成热门赛道的集中推荐。</w:t>
      </w:r>
    </w:p>
    <w:p>
      <w:pPr>
        <w:pStyle w:val="BodyText"/>
      </w:pPr>
      <w:r>
        <w:rPr>
          <w:rFonts w:hint="eastAsia"/>
        </w:rPr>
        <w:t xml:space="preserve">金股名单比普通研报更适合研究这个争议。原因很简单：研报可以写很多观点，金股名单最终要落到股票和收益上。投资者真正关心的是：</w:t>
      </w:r>
      <w:r>
        <w:rPr>
          <w:rFonts w:hint="eastAsia"/>
          <w:b/>
          <w:bCs/>
        </w:rPr>
        <w:t xml:space="preserve">推荐后有没有赚钱，赚钱是靠选股，还是只是搭上了市场风格。</w:t>
      </w:r>
    </w:p>
    <w:bookmarkEnd w:id="17"/>
    <w:bookmarkStart w:id="21" w:name="市场背景这-12-个月更像科技成长牛市"/>
    <w:p>
      <w:pPr>
        <w:pStyle w:val="Heading3"/>
      </w:pPr>
      <w:r>
        <w:t xml:space="preserve">3.3 </w:t>
      </w:r>
      <w:r>
        <w:rPr>
          <w:rFonts w:hint="eastAsia"/>
        </w:rPr>
        <w:t xml:space="preserve">市场背景：这</w:t>
      </w:r>
      <w:r>
        <w:t xml:space="preserve"> 12 </w:t>
      </w:r>
      <w:r>
        <w:rPr>
          <w:rFonts w:hint="eastAsia"/>
        </w:rPr>
        <w:t xml:space="preserve">个月更像“科技成长牛市”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月度波动率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在本报告中的角色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创业板指</w:t>
            </w:r>
          </w:p>
        </w:tc>
        <w:tc>
          <w:tcPr/>
          <w:p>
            <w:pPr>
              <w:pStyle w:val="Compact"/>
            </w:pPr>
            <w:r>
              <w:t xml:space="preserve">+88.76%</w:t>
            </w:r>
          </w:p>
        </w:tc>
        <w:tc>
          <w:tcPr/>
          <w:p>
            <w:pPr>
              <w:pStyle w:val="Compact"/>
            </w:pPr>
            <w:r>
              <w:t xml:space="preserve">+5.74%</w:t>
            </w:r>
          </w:p>
        </w:tc>
        <w:tc>
          <w:tcPr/>
          <w:p>
            <w:pPr>
              <w:pStyle w:val="Compact"/>
            </w:pPr>
            <w:r>
              <w:t xml:space="preserve">8.46%</w:t>
            </w:r>
          </w:p>
        </w:tc>
        <w:tc>
          <w:tcPr/>
          <w:p>
            <w:pPr>
              <w:pStyle w:val="Compact"/>
            </w:pPr>
            <w:r>
              <w:t xml:space="preserve">-5.73%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科技成长强基准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深证成指</w:t>
            </w:r>
          </w:p>
        </w:tc>
        <w:tc>
          <w:tcPr/>
          <w:p>
            <w:pPr>
              <w:pStyle w:val="Compact"/>
            </w:pPr>
            <w:r>
              <w:t xml:space="preserve">+52.60%</w:t>
            </w:r>
          </w:p>
        </w:tc>
        <w:tc>
          <w:tcPr/>
          <w:p>
            <w:pPr>
              <w:pStyle w:val="Compact"/>
            </w:pPr>
            <w:r>
              <w:t xml:space="preserve">+3.75%</w:t>
            </w:r>
          </w:p>
        </w:tc>
        <w:tc>
          <w:tcPr/>
          <w:p>
            <w:pPr>
              <w:pStyle w:val="Compact"/>
            </w:pPr>
            <w:r>
              <w:t xml:space="preserve">6.09%</w:t>
            </w:r>
          </w:p>
        </w:tc>
        <w:tc>
          <w:tcPr/>
          <w:p>
            <w:pPr>
              <w:pStyle w:val="Compact"/>
            </w:pPr>
            <w:r>
              <w:t xml:space="preserve">-7.02%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宽基参照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上证指数</w:t>
            </w:r>
          </w:p>
        </w:tc>
        <w:tc>
          <w:tcPr/>
          <w:p>
            <w:pPr>
              <w:pStyle w:val="Compact"/>
            </w:pPr>
            <w:r>
              <w:t xml:space="preserve">+25.41%</w:t>
            </w:r>
          </w:p>
        </w:tc>
        <w:tc>
          <w:tcPr/>
          <w:p>
            <w:pPr>
              <w:pStyle w:val="Compact"/>
            </w:pPr>
            <w:r>
              <w:t xml:space="preserve">+1.96%</w:t>
            </w:r>
          </w:p>
        </w:tc>
        <w:tc>
          <w:tcPr/>
          <w:p>
            <w:pPr>
              <w:pStyle w:val="Compact"/>
            </w:pPr>
            <w:r>
              <w:t xml:space="preserve">3.62%</w:t>
            </w:r>
          </w:p>
        </w:tc>
        <w:tc>
          <w:tcPr/>
          <w:p>
            <w:pPr>
              <w:pStyle w:val="Compact"/>
            </w:pPr>
            <w:r>
              <w:t xml:space="preserve">-6.51%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宽基参照</w:t>
            </w:r>
          </w:p>
        </w:tc>
      </w:tr>
    </w:tbl>
    <w:p>
      <w:pPr>
        <w:pStyle w:val="CaptionedFigure"/>
      </w:pPr>
      <w:r>
        <w:drawing>
          <wp:inline>
            <wp:extent cx="5334000" cy="2054577"/>
            <wp:effectExtent b="0" l="0" r="0" t="0"/>
            <wp:docPr descr="市场背景：创业板与六家券商平均收益" title="" id="19" name="Picture"/>
            <a:graphic>
              <a:graphicData uri="http://schemas.openxmlformats.org/drawingml/2006/picture">
                <pic:pic>
                  <pic:nvPicPr>
                    <pic:cNvPr descr="outputs/report_figures/fig_market_contex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市场背景：创业板与六家券商平均收益</w:t>
      </w:r>
    </w:p>
    <w:p>
      <w:pPr>
        <w:pStyle w:val="BodyText"/>
      </w:pPr>
      <w:r>
        <w:rPr>
          <w:rFonts w:hint="eastAsia"/>
        </w:rPr>
        <w:t xml:space="preserve">如果只拿上证指数做基准，六家券商金股看起来非常优秀；但这段行情的核心不是传统蓝筹，而是科技成长。创业板指同期累计上涨</w:t>
      </w:r>
      <w:r>
        <w:t xml:space="preserve"> </w:t>
      </w:r>
      <w:r>
        <w:rPr>
          <w:rFonts w:hint="eastAsia"/>
        </w:rPr>
        <w:t xml:space="preserve">+88.76%，远高于上证指数的</w:t>
      </w:r>
      <w:r>
        <w:t xml:space="preserve"> </w:t>
      </w:r>
      <w:r>
        <w:rPr>
          <w:rFonts w:hint="eastAsia"/>
        </w:rPr>
        <w:t xml:space="preserve">+25.41%。因此，本报告把创业板指作为更严格的大盘参照物：它能检验券商金股到底有“选股超额”，还是只是买到了科技成长风格。</w:t>
      </w:r>
    </w:p>
    <w:p>
      <w:pPr>
        <w:pStyle w:val="BodyText"/>
      </w:pPr>
      <w:r>
        <w:rPr>
          <w:rFonts w:hint="eastAsia"/>
        </w:rPr>
        <w:t xml:space="preserve">现有问题的严重程度也可以先用几组数字概括：六家券商</w:t>
      </w:r>
      <w:r>
        <w:t xml:space="preserve"> 62.5% </w:t>
      </w:r>
      <w:r>
        <w:rPr>
          <w:rFonts w:hint="eastAsia"/>
        </w:rPr>
        <w:t xml:space="preserve">的推荐集中在前三大行业，Top10</w:t>
      </w:r>
      <w:r>
        <w:t xml:space="preserve"> </w:t>
      </w:r>
      <w:r>
        <w:rPr>
          <w:rFonts w:hint="eastAsia"/>
        </w:rPr>
        <w:t xml:space="preserve">抱团股占全部推荐</w:t>
      </w:r>
      <w:r>
        <w:t xml:space="preserve"> </w:t>
      </w:r>
      <w:r>
        <w:rPr>
          <w:rFonts w:hint="eastAsia"/>
        </w:rPr>
        <w:t xml:space="preserve">18.7%，成长股占比全部超过</w:t>
      </w:r>
      <w:r>
        <w:t xml:space="preserve"> </w:t>
      </w:r>
      <w:r>
        <w:rPr>
          <w:rFonts w:hint="eastAsia"/>
        </w:rPr>
        <w:t xml:space="preserve">60%，而最终只有</w:t>
      </w:r>
      <w:r>
        <w:t xml:space="preserve"> 1 </w:t>
      </w:r>
      <w:r>
        <w:rPr>
          <w:rFonts w:hint="eastAsia"/>
        </w:rPr>
        <w:t xml:space="preserve">家券商组合跑赢创业板指。也就是说，金股不是没有价值，问题在于投资者如果不拆解行业、风格和基准，很容易把“科技牛市收益”误认为“券商选股能力”。</w:t>
      </w:r>
    </w:p>
    <w:bookmarkEnd w:id="21"/>
    <w:bookmarkEnd w:id="22"/>
    <w:bookmarkStart w:id="23" w:name="数据来源与处理"/>
    <w:p>
      <w:pPr>
        <w:pStyle w:val="Heading2"/>
      </w:pPr>
      <w:r>
        <w:t xml:space="preserve">4. </w:t>
      </w:r>
      <w:r>
        <w:rPr>
          <w:rFonts w:hint="eastAsia"/>
        </w:rPr>
        <w:t xml:space="preserve">数据来源与处理</w:t>
      </w:r>
    </w:p>
    <w:p>
      <w:pPr>
        <w:pStyle w:val="FirstParagraph"/>
      </w:pPr>
      <w:r>
        <w:rPr>
          <w:rFonts w:hint="eastAsia"/>
        </w:rPr>
        <w:t xml:space="preserve">数据来自</w:t>
      </w:r>
      <w:r>
        <w:t xml:space="preserve"> </w:t>
      </w:r>
      <w:r>
        <w:rPr>
          <w:rStyle w:val="VerbatimChar"/>
          <w:rFonts w:hint="eastAsia"/>
        </w:rPr>
        <w:t xml:space="preserve">六大券商合并数据.xlsx</w:t>
      </w:r>
      <w:r>
        <w:rPr>
          <w:rFonts w:hint="eastAsia"/>
        </w:rPr>
        <w:t xml:space="preserve">、维度二</w:t>
      </w:r>
      <w:r>
        <w:t xml:space="preserve"> Top/Bottom </w:t>
      </w:r>
      <w:r>
        <w:rPr>
          <w:rFonts w:hint="eastAsia"/>
        </w:rPr>
        <w:t xml:space="preserve">分组明细、维度三成长/价值风格指标表，以及维度四收益率回测思路。市场基准采用</w:t>
      </w:r>
      <w:r>
        <w:t xml:space="preserve"> AkShare </w:t>
      </w:r>
      <w:r>
        <w:rPr>
          <w:rFonts w:hint="eastAsia"/>
        </w:rPr>
        <w:t xml:space="preserve">获取的上证指数、深证成指、创业板指日收盘价，并按月末收盘计算月收益；行业基准采用申万一级行业指数，并按</w:t>
      </w:r>
      <w:r>
        <w:t xml:space="preserve"> Wind </w:t>
      </w:r>
      <w:r>
        <w:rPr>
          <w:rFonts w:hint="eastAsia"/>
        </w:rPr>
        <w:t xml:space="preserve">行业到申万行业的映射做简单平均。</w:t>
      </w:r>
    </w:p>
    <w:p>
      <w:pPr>
        <w:pStyle w:val="BodyText"/>
      </w:pPr>
      <w:r>
        <w:rPr>
          <w:rFonts w:hint="eastAsia"/>
        </w:rPr>
        <w:t xml:space="preserve">关键处理口径如下：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时间口径：</w:t>
      </w:r>
      <w:r>
        <w:t xml:space="preserve"> </w:t>
      </w:r>
      <w:r>
        <w:rPr>
          <w:rFonts w:hint="eastAsia"/>
        </w:rPr>
        <w:t xml:space="preserve">原始合并表覆盖</w:t>
      </w:r>
      <w:r>
        <w:t xml:space="preserve"> 2025-04 </w:t>
      </w:r>
      <w:r>
        <w:rPr>
          <w:rFonts w:hint="eastAsia"/>
        </w:rPr>
        <w:t xml:space="preserve">至</w:t>
      </w:r>
      <w:r>
        <w:t xml:space="preserve"> 2026-04 </w:t>
      </w:r>
      <w:r>
        <w:rPr>
          <w:rFonts w:hint="eastAsia"/>
        </w:rPr>
        <w:t xml:space="preserve">共</w:t>
      </w:r>
      <w:r>
        <w:t xml:space="preserve"> 889 </w:t>
      </w:r>
      <w:r>
        <w:rPr>
          <w:rFonts w:hint="eastAsia"/>
        </w:rPr>
        <w:t xml:space="preserve">条记录。本文剔除</w:t>
      </w:r>
      <w:r>
        <w:t xml:space="preserve"> 2025-04 </w:t>
      </w:r>
      <w:r>
        <w:rPr>
          <w:rFonts w:hint="eastAsia"/>
        </w:rPr>
        <w:t xml:space="preserve">的</w:t>
      </w:r>
      <w:r>
        <w:t xml:space="preserve"> 71 </w:t>
      </w:r>
      <w:r>
        <w:rPr>
          <w:rFonts w:hint="eastAsia"/>
        </w:rPr>
        <w:t xml:space="preserve">条记录，只保留</w:t>
      </w:r>
      <w:r>
        <w:t xml:space="preserve"> 2025-05 </w:t>
      </w:r>
      <w:r>
        <w:rPr>
          <w:rFonts w:hint="eastAsia"/>
        </w:rPr>
        <w:t xml:space="preserve">至</w:t>
      </w:r>
      <w:r>
        <w:t xml:space="preserve"> 2026-04 </w:t>
      </w:r>
      <w:r>
        <w:rPr>
          <w:rFonts w:hint="eastAsia"/>
        </w:rPr>
        <w:t xml:space="preserve">的</w:t>
      </w:r>
      <w:r>
        <w:t xml:space="preserve"> 818 </w:t>
      </w:r>
      <w:r>
        <w:rPr>
          <w:rFonts w:hint="eastAsia"/>
        </w:rPr>
        <w:t xml:space="preserve">条推荐，严格对应</w:t>
      </w:r>
      <w:r>
        <w:t xml:space="preserve"> 12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推荐口径：</w:t>
      </w:r>
      <w:r>
        <w:t xml:space="preserve"> </w:t>
      </w:r>
      <w:r>
        <w:rPr>
          <w:rFonts w:hint="eastAsia"/>
        </w:rPr>
        <w:t xml:space="preserve">按“推荐记录”统计。同一只股票被多个券商、多个月推荐，会重复计入，因为投资者每月看到的正是这张当月名单。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收益口径：</w:t>
      </w:r>
      <w:r>
        <w:t xml:space="preserve"> </w:t>
      </w:r>
      <w:r>
        <w:rPr>
          <w:rFonts w:hint="eastAsia"/>
        </w:rPr>
        <w:t xml:space="preserve">当月买入当月金股，按表中当月涨跌幅计算收益。组合回测假设每月等权买入，当月</w:t>
      </w:r>
      <w:r>
        <w:t xml:space="preserve"> 10 </w:t>
      </w:r>
      <w:r>
        <w:rPr>
          <w:rFonts w:hint="eastAsia"/>
        </w:rPr>
        <w:t xml:space="preserve">只股票就各买</w:t>
      </w:r>
      <w:r>
        <w:t xml:space="preserve"> </w:t>
      </w:r>
      <w:r>
        <w:rPr>
          <w:rFonts w:hint="eastAsia"/>
        </w:rPr>
        <w:t xml:space="preserve">10%，月末结算后滚动到下月。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风格口径：</w:t>
      </w:r>
      <w:r>
        <w:t xml:space="preserve"> </w:t>
      </w:r>
      <w:r>
        <w:rPr>
          <w:rFonts w:hint="eastAsia"/>
        </w:rPr>
        <w:t xml:space="preserve">沿用维度三构造的成长指数。成长指数综合</w:t>
      </w:r>
      <w:r>
        <w:t xml:space="preserve"> </w:t>
      </w:r>
      <w:r>
        <w:rPr>
          <w:rFonts w:hint="eastAsia"/>
        </w:rPr>
        <w:t xml:space="preserve">PE、营收增长率和低分红特征，数值越高越偏成长。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现实差异：</w:t>
      </w:r>
      <w:r>
        <w:t xml:space="preserve"> </w:t>
      </w:r>
      <w:r>
        <w:rPr>
          <w:rFonts w:hint="eastAsia"/>
        </w:rPr>
        <w:t xml:space="preserve">回测未扣除交易成本、税费、滑点、冲击成本、停牌和真实建仓时点差异，实际收益通常会低于理想回测。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行业集中度</w:t>
            </w:r>
          </w:p>
        </w:tc>
        <w:tc>
          <w:tcPr/>
          <w:p>
            <w:pPr>
              <w:pStyle w:val="Compact"/>
            </w:pPr>
            <w:r>
              <w:t xml:space="preserve">CR1/CR3/CR5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衡量推荐是否集中在少数热门行业，直接对应“是否偏好热门赛道”。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行业超额收益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金股当月收益</w:t>
            </w:r>
            <w:r>
              <w:t xml:space="preserve"> - </w:t>
            </w:r>
            <w:r>
              <w:rPr>
                <w:rFonts w:hint="eastAsia"/>
              </w:rPr>
              <w:t xml:space="preserve">对应行业指数月收益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检验券商是否在行业内部有选股能力，而不只是买对行业。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抱团强度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单只股票</w:t>
            </w:r>
            <w:r>
              <w:t xml:space="preserve"> 12 </w:t>
            </w:r>
            <w:r>
              <w:rPr>
                <w:rFonts w:hint="eastAsia"/>
              </w:rPr>
              <w:t xml:space="preserve">个月累计推荐次数、Top10</w:t>
            </w:r>
            <w:r>
              <w:t xml:space="preserve"> </w:t>
            </w:r>
            <w:r>
              <w:rPr>
                <w:rFonts w:hint="eastAsia"/>
              </w:rPr>
              <w:t xml:space="preserve">推荐占比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衡量机构是否反复推荐同一批热门股。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成长指数、成长股占比、价值股占比、PE/营收/分红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判断券商推荐偏成长还是偏价值。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组合收益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万元本金，每月按当月金股等权买入并滚动复利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模拟投资者实际跟投体验。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强基准超额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组合收益</w:t>
            </w:r>
            <w:r>
              <w:t xml:space="preserve"> - </w:t>
            </w:r>
            <w:r>
              <w:rPr>
                <w:rFonts w:hint="eastAsia"/>
              </w:rPr>
              <w:t xml:space="preserve">创业板指收益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检验科技成长牛市中是否真正跑赢可替代基准。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指标表对应后文所有图表：行业集中度回答“买了什么”，超额收益回答“有没有选股能力”，抱团强度回答“是不是集中推热门股”，组合收益回答“投资者跟投后账户会怎样”。把指标先讲清楚，可以避免读者只盯着收益率，而忽略收益背后的风格和风险来源。</w:t>
      </w:r>
    </w:p>
    <w:p>
      <w:pPr>
        <w:pStyle w:val="BodyText"/>
      </w:pPr>
      <w:r>
        <w:rPr>
          <w:rFonts w:hint="eastAsia"/>
        </w:rPr>
        <w:t xml:space="preserve">关于作业框架中的“政策前后对比”：本文的核心监管背景是</w:t>
      </w:r>
      <w:r>
        <w:t xml:space="preserve"> 2024 </w:t>
      </w:r>
      <w:r>
        <w:rPr>
          <w:rFonts w:hint="eastAsia"/>
        </w:rPr>
        <w:t xml:space="preserve">年资本市场新“国九条”和</w:t>
      </w:r>
      <w:r>
        <w:t xml:space="preserve"> 2025 </w:t>
      </w:r>
      <w:r>
        <w:rPr>
          <w:rFonts w:hint="eastAsia"/>
        </w:rPr>
        <w:t xml:space="preserve">年证券公司分类评价制度修订。其中</w:t>
      </w:r>
      <w:r>
        <w:t xml:space="preserve"> 2025 </w:t>
      </w:r>
      <w:r>
        <w:rPr>
          <w:rFonts w:hint="eastAsia"/>
        </w:rPr>
        <w:t xml:space="preserve">年制度修订施行日晚于本研究区间末，因此不适合把它作为样本内事件做政策前后收益比较。本文改用“政策背景解释研究意义</w:t>
      </w:r>
      <w:r>
        <w:t xml:space="preserve"> + </w:t>
      </w:r>
      <w:r>
        <w:rPr>
          <w:rFonts w:hint="eastAsia"/>
        </w:rPr>
        <w:t xml:space="preserve">创业板强基准检验市场环境”的方式处理。</w:t>
      </w:r>
    </w:p>
    <w:bookmarkEnd w:id="23"/>
    <w:bookmarkStart w:id="32" w:name="维度一行业偏好与行业收益"/>
    <w:p>
      <w:pPr>
        <w:pStyle w:val="Heading2"/>
      </w:pPr>
      <w:r>
        <w:t xml:space="preserve">5. </w:t>
      </w:r>
      <w:r>
        <w:rPr>
          <w:rFonts w:hint="eastAsia"/>
        </w:rPr>
        <w:t xml:space="preserve">维度一：行业偏好与行业收益</w:t>
      </w:r>
    </w:p>
    <w:bookmarkStart w:id="27" w:name="六家券商整体偏好哪些行业"/>
    <w:p>
      <w:pPr>
        <w:pStyle w:val="Heading3"/>
      </w:pPr>
      <w:r>
        <w:t xml:space="preserve">5.1 </w:t>
      </w:r>
      <w:r>
        <w:rPr>
          <w:rFonts w:hint="eastAsia"/>
        </w:rPr>
        <w:t xml:space="preserve">六家券商整体偏好哪些行业？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券商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唯一股票数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平均当月收益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平均行业超额收益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中信建投证券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+4.19%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华泰证券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+6.01%</w:t>
            </w:r>
          </w:p>
        </w:tc>
        <w:tc>
          <w:tcPr/>
          <w:p>
            <w:pPr>
              <w:pStyle w:val="Compact"/>
            </w:pPr>
            <w:r>
              <w:t xml:space="preserve">+3.37%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+5.30%</w:t>
            </w:r>
          </w:p>
        </w:tc>
        <w:tc>
          <w:tcPr/>
          <w:p>
            <w:pPr>
              <w:pStyle w:val="Compact"/>
            </w:pPr>
            <w:r>
              <w:t xml:space="preserve">+1.71%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平安证券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+4.09%</w:t>
            </w:r>
          </w:p>
        </w:tc>
        <w:tc>
          <w:tcPr/>
          <w:p>
            <w:pPr>
              <w:pStyle w:val="Compact"/>
            </w:pPr>
            <w:r>
              <w:t xml:space="preserve">+1.39%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+3.54%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+4.02%</w:t>
            </w:r>
          </w:p>
        </w:tc>
        <w:tc>
          <w:tcPr/>
          <w:p>
            <w:pPr>
              <w:pStyle w:val="Compact"/>
            </w:pPr>
            <w:r>
              <w:t xml:space="preserve">+1.48%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唯一股票数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平均当月收益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平均行业超额收益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+4.95%</w:t>
            </w:r>
          </w:p>
        </w:tc>
        <w:tc>
          <w:tcPr/>
          <w:p>
            <w:pPr>
              <w:pStyle w:val="Compact"/>
            </w:pPr>
            <w:r>
              <w:t xml:space="preserve">+2.19%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+4.63%</w:t>
            </w:r>
          </w:p>
        </w:tc>
        <w:tc>
          <w:tcPr/>
          <w:p>
            <w:pPr>
              <w:pStyle w:val="Compact"/>
            </w:pPr>
            <w:r>
              <w:t xml:space="preserve">+1.54%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+3.66%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从梯队看，头部券商平均当月收益为</w:t>
      </w:r>
      <w:r>
        <w:t xml:space="preserve"> </w:t>
      </w:r>
      <w:r>
        <w:rPr>
          <w:rFonts w:hint="eastAsia"/>
        </w:rPr>
        <w:t xml:space="preserve">+4.95%，行业超额收益为</w:t>
      </w:r>
      <w:r>
        <w:t xml:space="preserve"> </w:t>
      </w:r>
      <w:r>
        <w:rPr>
          <w:rFonts w:hint="eastAsia"/>
        </w:rPr>
        <w:t xml:space="preserve">+2.19%，高于腰部和尾部。这说明“头部研究能力更强”的行业直觉有一定数据支持。但单家层面并不绝对：招商证券的组合收益很强，说明在某些市场阶段，中间梯队券商也可能凭借风格判断或选股集中度取得好成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金股平均收益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行业指数收益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平均行业超额收益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30.7%</w:t>
            </w:r>
          </w:p>
        </w:tc>
        <w:tc>
          <w:tcPr/>
          <w:p>
            <w:pPr>
              <w:pStyle w:val="Compact"/>
            </w:pPr>
            <w:r>
              <w:t xml:space="preserve">+6.16%</w:t>
            </w:r>
          </w:p>
        </w:tc>
        <w:tc>
          <w:tcPr/>
          <w:p>
            <w:pPr>
              <w:pStyle w:val="Compact"/>
            </w:pPr>
            <w:r>
              <w:t xml:space="preserve">+3.52%</w:t>
            </w:r>
          </w:p>
        </w:tc>
        <w:tc>
          <w:tcPr/>
          <w:p>
            <w:pPr>
              <w:pStyle w:val="Compact"/>
            </w:pPr>
            <w:r>
              <w:t xml:space="preserve">+2.64%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+5.72%</w:t>
            </w:r>
          </w:p>
        </w:tc>
        <w:tc>
          <w:tcPr/>
          <w:p>
            <w:pPr>
              <w:pStyle w:val="Compact"/>
            </w:pPr>
            <w:r>
              <w:t xml:space="preserve">+3.62%</w:t>
            </w:r>
          </w:p>
        </w:tc>
        <w:tc>
          <w:tcPr/>
          <w:p>
            <w:pPr>
              <w:pStyle w:val="Compact"/>
            </w:pPr>
            <w:r>
              <w:t xml:space="preserve">+2.10%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+6.03%</w:t>
            </w:r>
          </w:p>
        </w:tc>
        <w:tc>
          <w:tcPr/>
          <w:p>
            <w:pPr>
              <w:pStyle w:val="Compact"/>
            </w:pPr>
            <w:r>
              <w:t xml:space="preserve">+3.80%</w:t>
            </w:r>
          </w:p>
        </w:tc>
        <w:tc>
          <w:tcPr/>
          <w:p>
            <w:pPr>
              <w:pStyle w:val="Compact"/>
            </w:pPr>
            <w:r>
              <w:t xml:space="preserve">+2.23%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可选消费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+0.24%</w:t>
            </w:r>
          </w:p>
        </w:tc>
        <w:tc>
          <w:tcPr/>
          <w:p>
            <w:pPr>
              <w:pStyle w:val="Compact"/>
            </w:pPr>
            <w:r>
              <w:t xml:space="preserve">+1.13%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医疗保健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+2.94%</w:t>
            </w:r>
          </w:p>
        </w:tc>
        <w:tc>
          <w:tcPr/>
          <w:p>
            <w:pPr>
              <w:pStyle w:val="Compact"/>
            </w:pPr>
            <w:r>
              <w:t xml:space="preserve">+1.19%</w:t>
            </w:r>
          </w:p>
        </w:tc>
        <w:tc>
          <w:tcPr/>
          <w:p>
            <w:pPr>
              <w:pStyle w:val="Compact"/>
            </w:pPr>
            <w:r>
              <w:t xml:space="preserve">+1.75%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+1.00%</w:t>
            </w:r>
          </w:p>
        </w:tc>
        <w:tc>
          <w:tcPr/>
          <w:p>
            <w:pPr>
              <w:pStyle w:val="Compact"/>
            </w:pPr>
            <w:r>
              <w:t xml:space="preserve">+0.80%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日常消费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  <w:tc>
          <w:tcPr/>
          <w:p>
            <w:pPr>
              <w:pStyle w:val="Compact"/>
            </w:pPr>
            <w:r>
              <w:t xml:space="preserve">-0.08%</w:t>
            </w:r>
          </w:p>
        </w:tc>
        <w:tc>
          <w:tcPr/>
          <w:p>
            <w:pPr>
              <w:pStyle w:val="Compact"/>
            </w:pPr>
            <w:r>
              <w:t xml:space="preserve">+0.53%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公用事业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t xml:space="preserve">+1.10%</w:t>
            </w:r>
          </w:p>
        </w:tc>
        <w:tc>
          <w:tcPr/>
          <w:p>
            <w:pPr>
              <w:pStyle w:val="Compact"/>
            </w:pPr>
            <w:r>
              <w:t xml:space="preserve">+0.65%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房地产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+1.66%</w:t>
            </w:r>
          </w:p>
        </w:tc>
        <w:tc>
          <w:tcPr/>
          <w:p>
            <w:pPr>
              <w:pStyle w:val="Compact"/>
            </w:pPr>
            <w:r>
              <w:t xml:space="preserve">+4.55%</w:t>
            </w:r>
          </w:p>
        </w:tc>
        <w:tc>
          <w:tcPr/>
          <w:p>
            <w:pPr>
              <w:pStyle w:val="Compact"/>
            </w:pPr>
            <w:r>
              <w:t xml:space="preserve">-2.89%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+3.86%</w:t>
            </w:r>
          </w:p>
        </w:tc>
        <w:tc>
          <w:tcPr/>
          <w:p>
            <w:pPr>
              <w:pStyle w:val="Compact"/>
            </w:pPr>
            <w:r>
              <w:t xml:space="preserve">+3.42%</w:t>
            </w:r>
          </w:p>
        </w:tc>
        <w:tc>
          <w:tcPr/>
          <w:p>
            <w:pPr>
              <w:pStyle w:val="Compact"/>
            </w:pPr>
            <w:r>
              <w:t xml:space="preserve">+0.44%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电信服务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-1.76%</w:t>
            </w:r>
          </w:p>
        </w:tc>
        <w:tc>
          <w:tcPr/>
          <w:p>
            <w:pPr>
              <w:pStyle w:val="Compact"/>
            </w:pPr>
            <w:r>
              <w:t xml:space="preserve">+14.09%</w:t>
            </w:r>
          </w:p>
        </w:tc>
        <w:tc>
          <w:tcPr/>
          <w:p>
            <w:pPr>
              <w:pStyle w:val="Compact"/>
            </w:pPr>
            <w:r>
              <w:t xml:space="preserve">-15.85%</w:t>
            </w:r>
          </w:p>
        </w:tc>
      </w:tr>
    </w:tbl>
    <w:p>
      <w:pPr>
        <w:pStyle w:val="CaptionedFigure"/>
      </w:pPr>
      <w:r>
        <w:drawing>
          <wp:inline>
            <wp:extent cx="5334000" cy="2215661"/>
            <wp:effectExtent b="0" l="0" r="0" t="0"/>
            <wp:docPr descr="行业集中度与行业超额收益" title="" id="25" name="Picture"/>
            <a:graphic>
              <a:graphicData uri="http://schemas.openxmlformats.org/drawingml/2006/picture">
                <pic:pic>
                  <pic:nvPicPr>
                    <pic:cNvPr descr="outputs/report_figures/fig1_industry_concentr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行业集中度与行业超额收益</w:t>
      </w:r>
    </w:p>
    <w:p>
      <w:pPr>
        <w:pStyle w:val="BodyText"/>
      </w:pPr>
      <w:r>
        <w:rPr>
          <w:rFonts w:hint="eastAsia"/>
        </w:rPr>
        <w:t xml:space="preserve">信息技术单一行业占</w:t>
      </w:r>
      <w:r>
        <w:t xml:space="preserve"> </w:t>
      </w:r>
      <w:r>
        <w:rPr>
          <w:rFonts w:hint="eastAsia"/>
        </w:rPr>
        <w:t xml:space="preserve">30.7%，信息技术、工业、材料三大行业合计占</w:t>
      </w:r>
      <w:r>
        <w:t xml:space="preserve"> </w:t>
      </w:r>
      <w:r>
        <w:rPr>
          <w:rFonts w:hint="eastAsia"/>
        </w:rPr>
        <w:t xml:space="preserve">62.5%，前五大行业占</w:t>
      </w:r>
      <w:r>
        <w:t xml:space="preserve"> </w:t>
      </w:r>
      <w:r>
        <w:rPr>
          <w:rFonts w:hint="eastAsia"/>
        </w:rPr>
        <w:t xml:space="preserve">82.6%。这说明六家券商并没有把金股均匀分散到全市场，而是明显把火力集中在科技成长和先进制造链条。</w:t>
      </w:r>
    </w:p>
    <w:bookmarkEnd w:id="27"/>
    <w:bookmarkStart w:id="31" w:name="这种行业集中是好事还是坏事"/>
    <w:p>
      <w:pPr>
        <w:pStyle w:val="Heading3"/>
      </w:pPr>
      <w:r>
        <w:t xml:space="preserve">5.2 </w:t>
      </w:r>
      <w:r>
        <w:rPr>
          <w:rFonts w:hint="eastAsia"/>
        </w:rPr>
        <w:t xml:space="preserve">这种行业集中是好事还是坏事？</w:t>
      </w:r>
    </w:p>
    <w:p>
      <w:pPr>
        <w:pStyle w:val="FirstParagraph"/>
      </w:pPr>
      <w:r>
        <w:rPr>
          <w:rFonts w:hint="eastAsia"/>
        </w:rPr>
        <w:t xml:space="preserve">好处是，在科技牛市里，行业集中能提高胜率。本研究期内，信息技术金股平均收益</w:t>
      </w:r>
      <w:r>
        <w:t xml:space="preserve"> </w:t>
      </w:r>
      <w:r>
        <w:rPr>
          <w:rFonts w:hint="eastAsia"/>
        </w:rPr>
        <w:t xml:space="preserve">+6.16%，相对行业指数也有</w:t>
      </w:r>
      <w:r>
        <w:t xml:space="preserve"> </w:t>
      </w:r>
      <w:r>
        <w:rPr>
          <w:rFonts w:hint="eastAsia"/>
        </w:rPr>
        <w:t xml:space="preserve">+2.64%。工业、材料同样贡献了正超额收益。</w:t>
      </w:r>
    </w:p>
    <w:p>
      <w:pPr>
        <w:pStyle w:val="BodyText"/>
      </w:pPr>
      <w:r>
        <w:rPr>
          <w:rFonts w:hint="eastAsia"/>
        </w:rPr>
        <w:t xml:space="preserve">风险是，投资者以为自己买了“六家券商、很多股票”，其实可能买到的是同一个方向：科技成长。如果市场风格从成长切到红利、消费或低估值价值股，分散券商并不能真正分散风险。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券商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前三大偏好行业及占比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前三大行业合计占比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中信建投证券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30.9%、工业</w:t>
            </w:r>
            <w:r>
              <w:t xml:space="preserve"> </w:t>
            </w:r>
            <w:r>
              <w:rPr>
                <w:rFonts w:hint="eastAsia"/>
              </w:rPr>
              <w:t xml:space="preserve">24.7%、材料</w:t>
            </w:r>
            <w:r>
              <w:t xml:space="preserve"> 12.4%</w:t>
            </w:r>
          </w:p>
        </w:tc>
        <w:tc>
          <w:tcPr/>
          <w:p>
            <w:pPr>
              <w:pStyle w:val="Compact"/>
            </w:pPr>
            <w:r>
              <w:t xml:space="preserve">68.0%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华泰证券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28.6%、材料</w:t>
            </w:r>
            <w:r>
              <w:t xml:space="preserve"> </w:t>
            </w:r>
            <w:r>
              <w:rPr>
                <w:rFonts w:hint="eastAsia"/>
              </w:rPr>
              <w:t xml:space="preserve">27.1%、工业</w:t>
            </w:r>
            <w:r>
              <w:t xml:space="preserve"> 25.7%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45.4%、材料</w:t>
            </w:r>
            <w:r>
              <w:t xml:space="preserve"> </w:t>
            </w:r>
            <w:r>
              <w:rPr>
                <w:rFonts w:hint="eastAsia"/>
              </w:rPr>
              <w:t xml:space="preserve">18.6%、工业</w:t>
            </w:r>
            <w:r>
              <w:t xml:space="preserve"> 14.4%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平安证券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31.1%、材料</w:t>
            </w:r>
            <w:r>
              <w:t xml:space="preserve"> </w:t>
            </w:r>
            <w:r>
              <w:rPr>
                <w:rFonts w:hint="eastAsia"/>
              </w:rPr>
              <w:t xml:space="preserve">18.5%、医疗保健</w:t>
            </w:r>
            <w:r>
              <w:t xml:space="preserve"> 15.1%</w:t>
            </w:r>
          </w:p>
        </w:tc>
        <w:tc>
          <w:tcPr/>
          <w:p>
            <w:pPr>
              <w:pStyle w:val="Compact"/>
            </w:pPr>
            <w:r>
              <w:t xml:space="preserve">64.7%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25.5%、可选消费</w:t>
            </w:r>
            <w:r>
              <w:t xml:space="preserve"> </w:t>
            </w:r>
            <w:r>
              <w:rPr>
                <w:rFonts w:hint="eastAsia"/>
              </w:rPr>
              <w:t xml:space="preserve">19.8%、工业</w:t>
            </w:r>
            <w:r>
              <w:t xml:space="preserve"> 17.4%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开源证券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34.3%、工业</w:t>
            </w:r>
            <w:r>
              <w:t xml:space="preserve"> </w:t>
            </w:r>
            <w:r>
              <w:rPr>
                <w:rFonts w:hint="eastAsia"/>
              </w:rPr>
              <w:t xml:space="preserve">16.7%、材料</w:t>
            </w:r>
            <w:r>
              <w:t xml:space="preserve"> 14.7%</w:t>
            </w:r>
          </w:p>
        </w:tc>
        <w:tc>
          <w:tcPr/>
          <w:p>
            <w:pPr>
              <w:pStyle w:val="Compact"/>
            </w:pPr>
            <w:r>
              <w:t xml:space="preserve">65.7%</w:t>
            </w:r>
          </w:p>
        </w:tc>
      </w:tr>
    </w:tbl>
    <w:p>
      <w:pPr>
        <w:pStyle w:val="CaptionedFigure"/>
      </w:pPr>
      <w:r>
        <w:drawing>
          <wp:inline>
            <wp:extent cx="5334000" cy="2376054"/>
            <wp:effectExtent b="0" l="0" r="0" t="0"/>
            <wp:docPr descr="券商行业偏好热力图" title="" id="29" name="Picture"/>
            <a:graphic>
              <a:graphicData uri="http://schemas.openxmlformats.org/drawingml/2006/picture">
                <pic:pic>
                  <pic:nvPicPr>
                    <pic:cNvPr descr="outputs/report_figures/fig2_broker_industry_heatm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券商行业偏好热力图</w:t>
      </w:r>
    </w:p>
    <w:p>
      <w:pPr>
        <w:pStyle w:val="BodyText"/>
      </w:pPr>
      <w:r>
        <w:rPr>
          <w:rFonts w:hint="eastAsia"/>
        </w:rPr>
        <w:t xml:space="preserve">招商证券的信息技术占比最高，华泰证券在信息技术、材料、工业之间更均衡；天风证券在可选消费上占比更高。对投资者来说，这张表的用途不是判断谁“更聪明”，而是判断自己跟投后到底暴露在哪些行业。</w:t>
      </w:r>
    </w:p>
    <w:bookmarkEnd w:id="31"/>
    <w:bookmarkEnd w:id="32"/>
    <w:bookmarkStart w:id="43" w:name="维度二抱团荐股与热门科技股风险"/>
    <w:p>
      <w:pPr>
        <w:pStyle w:val="Heading2"/>
      </w:pPr>
      <w:r>
        <w:t xml:space="preserve">6. </w:t>
      </w:r>
      <w:r>
        <w:rPr>
          <w:rFonts w:hint="eastAsia"/>
        </w:rPr>
        <w:t xml:space="preserve">维度二：抱团荐股与热门科技股风险</w:t>
      </w:r>
    </w:p>
    <w:bookmarkStart w:id="33" w:name="六家券商是否存在抱团推荐"/>
    <w:p>
      <w:pPr>
        <w:pStyle w:val="Heading3"/>
      </w:pPr>
      <w:r>
        <w:t xml:space="preserve">6.1 </w:t>
      </w:r>
      <w:r>
        <w:rPr>
          <w:rFonts w:hint="eastAsia"/>
        </w:rPr>
        <w:t xml:space="preserve">六家券商是否存在抱团推荐？</w:t>
      </w:r>
    </w:p>
    <w:p>
      <w:pPr>
        <w:pStyle w:val="FirstParagraph"/>
      </w:pPr>
      <w:r>
        <w:rPr>
          <w:rFonts w:hint="eastAsia"/>
        </w:rPr>
        <w:t xml:space="preserve">答案是：存在，而且不弱。12</w:t>
      </w:r>
      <w:r>
        <w:t xml:space="preserve"> </w:t>
      </w:r>
      <w:r>
        <w:rPr>
          <w:rFonts w:hint="eastAsia"/>
        </w:rPr>
        <w:t xml:space="preserve">个月内共有</w:t>
      </w:r>
      <w:r>
        <w:t xml:space="preserve"> 327 </w:t>
      </w:r>
      <w:r>
        <w:rPr>
          <w:rFonts w:hint="eastAsia"/>
        </w:rPr>
        <w:t xml:space="preserve">只股票被推荐，其中只出现</w:t>
      </w:r>
      <w:r>
        <w:t xml:space="preserve"> 1 </w:t>
      </w:r>
      <w:r>
        <w:rPr>
          <w:rFonts w:hint="eastAsia"/>
        </w:rPr>
        <w:t xml:space="preserve">次的股票有</w:t>
      </w:r>
      <w:r>
        <w:t xml:space="preserve"> 170 </w:t>
      </w:r>
      <w:r>
        <w:rPr>
          <w:rFonts w:hint="eastAsia"/>
        </w:rPr>
        <w:t xml:space="preserve">只，占唯一股票数</w:t>
      </w:r>
      <w:r>
        <w:t xml:space="preserve"> </w:t>
      </w:r>
      <w:r>
        <w:rPr>
          <w:rFonts w:hint="eastAsia"/>
        </w:rPr>
        <w:t xml:space="preserve">52.0%；但被重复推荐</w:t>
      </w:r>
      <w:r>
        <w:t xml:space="preserve"> 2 </w:t>
      </w:r>
      <w:r>
        <w:rPr>
          <w:rFonts w:hint="eastAsia"/>
        </w:rPr>
        <w:t xml:space="preserve">次及以上的股票贡献了</w:t>
      </w:r>
      <w:r>
        <w:t xml:space="preserve"> 648 </w:t>
      </w:r>
      <w:r>
        <w:rPr>
          <w:rFonts w:hint="eastAsia"/>
        </w:rPr>
        <w:t xml:space="preserve">条推荐记录，占全部推荐的</w:t>
      </w:r>
      <w:r>
        <w:t xml:space="preserve"> </w:t>
      </w:r>
      <w:r>
        <w:rPr>
          <w:rFonts w:hint="eastAsia"/>
        </w:rPr>
        <w:t xml:space="preserve">79.2%。也就是说，一边是大量股票只被偶尔提到，另一边是少数热门股被反复推荐。</w:t>
      </w:r>
    </w:p>
    <w:p>
      <w:pPr>
        <w:pStyle w:val="BodyText"/>
      </w:pPr>
      <w:r>
        <w:t xml:space="preserve">Top10 </w:t>
      </w:r>
      <w:r>
        <w:rPr>
          <w:rFonts w:hint="eastAsia"/>
        </w:rPr>
        <w:t xml:space="preserve">抱团股合计出现</w:t>
      </w:r>
      <w:r>
        <w:t xml:space="preserve"> 153 </w:t>
      </w:r>
      <w:r>
        <w:rPr>
          <w:rFonts w:hint="eastAsia"/>
        </w:rPr>
        <w:t xml:space="preserve">次，占全部推荐记录的</w:t>
      </w:r>
      <w:r>
        <w:t xml:space="preserve"> </w:t>
      </w:r>
      <w:r>
        <w:rPr>
          <w:rFonts w:hint="eastAsia"/>
        </w:rPr>
        <w:t xml:space="preserve">18.7%。其中信息技术抱团股贡献</w:t>
      </w:r>
      <w:r>
        <w:t xml:space="preserve"> 101 </w:t>
      </w:r>
      <w:r>
        <w:rPr>
          <w:rFonts w:hint="eastAsia"/>
        </w:rPr>
        <w:t xml:space="preserve">次，占</w:t>
      </w:r>
      <w:r>
        <w:t xml:space="preserve"> Top10 </w:t>
      </w:r>
      <w:r>
        <w:rPr>
          <w:rFonts w:hint="eastAsia"/>
        </w:rPr>
        <w:t xml:space="preserve">推荐次数的</w:t>
      </w:r>
      <w:r>
        <w:t xml:space="preserve"> </w:t>
      </w:r>
      <w:r>
        <w:rPr>
          <w:rFonts w:hint="eastAsia"/>
        </w:rPr>
        <w:t xml:space="preserve">66.0%，占全部推荐记录的</w:t>
      </w:r>
      <w:r>
        <w:t xml:space="preserve"> 12.3%。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累计推荐次数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是否科技股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推荐当月平均收益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300308.SZ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中际旭创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+16.69%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688041.SH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海光信息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-1.82%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601899.SH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紫金矿业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+2.80%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688235.SH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百济神州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-0.39%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002475.SZ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立讯精密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+5.48%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300502.SZ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新易盛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+21.02%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300454.SZ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深信服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+1.85%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600183.SH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生益科技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+12.06%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600060.SH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海信视像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+1.68%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600258.SH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首旅酒店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有两个很直观的信号。第一，抱团股不是随机的，主要集中在中际旭创、新易盛、海光信息、生益科技等科技成长链条。第二，抱团并不保证每只股票都赚钱：海光信息、百济神州在推荐当月平均收益为负，而中际旭创、新易盛收益非常突出。投资者不能只看“被推荐次数多”，还要看推荐时点和估值位置。</w:t>
      </w:r>
    </w:p>
    <w:bookmarkEnd w:id="33"/>
    <w:bookmarkStart w:id="37" w:name="抱团股收益更好吗"/>
    <w:p>
      <w:pPr>
        <w:pStyle w:val="Heading3"/>
      </w:pPr>
      <w:r>
        <w:t xml:space="preserve">6.2 </w:t>
      </w:r>
      <w:r>
        <w:rPr>
          <w:rFonts w:hint="eastAsia"/>
        </w:rPr>
        <w:t xml:space="preserve">抱团股收益更好吗？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累计推荐次数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推荐当月平均收益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000063.SZ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中兴通讯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-2.17%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000333.SZ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美的集团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可选消费</w:t>
            </w:r>
          </w:p>
        </w:tc>
        <w:tc>
          <w:tcPr/>
          <w:p>
            <w:pPr>
              <w:pStyle w:val="Compact"/>
            </w:pPr>
            <w:r>
              <w:t xml:space="preserve">-2.14%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000426.SZ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兴业银锡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-1.96%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000568.SZ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泸州老窖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日常消费</w:t>
            </w:r>
          </w:p>
        </w:tc>
        <w:tc>
          <w:tcPr/>
          <w:p>
            <w:pPr>
              <w:pStyle w:val="Compact"/>
            </w:pPr>
            <w:r>
              <w:t xml:space="preserve">-0.93%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000582.SZ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北部湾港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</w:t>
            </w:r>
          </w:p>
        </w:tc>
        <w:tc>
          <w:tcPr/>
          <w:p>
            <w:pPr>
              <w:pStyle w:val="Compact"/>
            </w:pPr>
            <w:r>
              <w:t xml:space="preserve">+5.62%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000596.SZ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古井贡酒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日常消费</w:t>
            </w:r>
          </w:p>
        </w:tc>
        <w:tc>
          <w:tcPr/>
          <w:p>
            <w:pPr>
              <w:pStyle w:val="Compact"/>
            </w:pPr>
            <w:r>
              <w:t xml:space="preserve">-20.26%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000690.SZ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宝新能源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公用事业</w:t>
            </w:r>
          </w:p>
        </w:tc>
        <w:tc>
          <w:tcPr/>
          <w:p>
            <w:pPr>
              <w:pStyle w:val="Compact"/>
            </w:pPr>
            <w:r>
              <w:t xml:space="preserve">+6.03%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000729.SZ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燕京啤酒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日常消费</w:t>
            </w:r>
          </w:p>
        </w:tc>
        <w:tc>
          <w:tcPr/>
          <w:p>
            <w:pPr>
              <w:pStyle w:val="Compact"/>
            </w:pPr>
            <w:r>
              <w:t xml:space="preserve">-8.23%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000791.SZ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甘肃能源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公用事业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000792.SZ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盐湖股份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+11.30%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有效月份数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相对上证Alpha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正收益占比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跑赢上证占比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Top10 </w:t>
            </w:r>
            <w:r>
              <w:rPr>
                <w:rFonts w:hint="eastAsia"/>
              </w:rPr>
              <w:t xml:space="preserve">抱团股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+6.88%</w:t>
            </w:r>
          </w:p>
        </w:tc>
        <w:tc>
          <w:tcPr/>
          <w:p>
            <w:pPr>
              <w:pStyle w:val="Compact"/>
            </w:pPr>
            <w:r>
              <w:t xml:space="preserve">+5.18%</w:t>
            </w:r>
          </w:p>
        </w:tc>
        <w:tc>
          <w:tcPr/>
          <w:p>
            <w:pPr>
              <w:pStyle w:val="Compact"/>
            </w:pPr>
            <w:r>
              <w:t xml:space="preserve">58.2%</w:t>
            </w:r>
          </w:p>
        </w:tc>
        <w:tc>
          <w:tcPr/>
          <w:p>
            <w:pPr>
              <w:pStyle w:val="Compact"/>
            </w:pPr>
            <w:r>
              <w:t xml:space="preserve">51.0%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Bottom10 </w:t>
            </w:r>
            <w:r>
              <w:rPr>
                <w:rFonts w:hint="eastAsia"/>
              </w:rPr>
              <w:t xml:space="preserve">冷门股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-1.29%</w:t>
            </w:r>
          </w:p>
        </w:tc>
        <w:tc>
          <w:tcPr/>
          <w:p>
            <w:pPr>
              <w:pStyle w:val="Compact"/>
            </w:pPr>
            <w:r>
              <w:t xml:space="preserve">-2.60%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</w:tr>
    </w:tbl>
    <w:p>
      <w:pPr>
        <w:pStyle w:val="CaptionedFigure"/>
      </w:pPr>
      <w:r>
        <w:drawing>
          <wp:inline>
            <wp:extent cx="5334000" cy="2051538"/>
            <wp:effectExtent b="0" l="0" r="0" t="0"/>
            <wp:docPr descr="Top10与Bottom10收益对比" title="" id="35" name="Picture"/>
            <a:graphic>
              <a:graphicData uri="http://schemas.openxmlformats.org/drawingml/2006/picture">
                <pic:pic>
                  <pic:nvPicPr>
                    <pic:cNvPr descr="outputs/report_figures/fig3_top_bottom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Top10与Bottom10收益对比</w:t>
      </w:r>
    </w:p>
    <w:p>
      <w:pPr>
        <w:pStyle w:val="BodyText"/>
      </w:pPr>
      <w:r>
        <w:t xml:space="preserve">Top10 </w:t>
      </w:r>
      <w:r>
        <w:rPr>
          <w:rFonts w:hint="eastAsia"/>
        </w:rPr>
        <w:t xml:space="preserve">抱团股推荐当月平均收益为</w:t>
      </w:r>
      <w:r>
        <w:t xml:space="preserve"> </w:t>
      </w:r>
      <w:r>
        <w:rPr>
          <w:rFonts w:hint="eastAsia"/>
        </w:rPr>
        <w:t xml:space="preserve">+6.88%，相对上证</w:t>
      </w:r>
      <w:r>
        <w:t xml:space="preserve"> Alpha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+5.18%；Bottom10</w:t>
      </w:r>
      <w:r>
        <w:t xml:space="preserve"> </w:t>
      </w:r>
      <w:r>
        <w:rPr>
          <w:rFonts w:hint="eastAsia"/>
        </w:rPr>
        <w:t xml:space="preserve">冷门股平均收益为</w:t>
      </w:r>
      <w:r>
        <w:t xml:space="preserve"> </w:t>
      </w:r>
      <w:r>
        <w:rPr>
          <w:rFonts w:hint="eastAsia"/>
        </w:rPr>
        <w:t xml:space="preserve">-1.29%，相对上证</w:t>
      </w:r>
      <w:r>
        <w:t xml:space="preserve"> Alpha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-2.60%。在本研究期内，抱团热门股明显比冷门股有效。</w:t>
      </w:r>
    </w:p>
    <w:p>
      <w:pPr>
        <w:pStyle w:val="BodyText"/>
      </w:pPr>
      <w:r>
        <w:rPr>
          <w:rFonts w:hint="eastAsia"/>
        </w:rPr>
        <w:t xml:space="preserve">但这个结论要加一句重要限制：</w:t>
      </w:r>
      <w:r>
        <w:rPr>
          <w:rFonts w:hint="eastAsia"/>
          <w:b/>
          <w:bCs/>
        </w:rPr>
        <w:t xml:space="preserve">它成立的背景是科技成长牛市。</w:t>
      </w:r>
      <w:r>
        <w:t xml:space="preserve"> </w:t>
      </w:r>
      <w:r>
        <w:rPr>
          <w:rFonts w:hint="eastAsia"/>
        </w:rPr>
        <w:t xml:space="preserve">如果市场环境换成价值股占优，热门科技抱团股的优势可能迅速消失。</w:t>
      </w:r>
    </w:p>
    <w:bookmarkEnd w:id="37"/>
    <w:bookmarkStart w:id="41" w:name="抱团推荐会不会带来资本市场抱团效应"/>
    <w:p>
      <w:pPr>
        <w:pStyle w:val="Heading3"/>
      </w:pPr>
      <w:r>
        <w:t xml:space="preserve">6.3 </w:t>
      </w:r>
      <w:r>
        <w:rPr>
          <w:rFonts w:hint="eastAsia"/>
        </w:rPr>
        <w:t xml:space="preserve">抱团推荐会不会带来资本市场抱团效应？</w:t>
      </w:r>
    </w:p>
    <w:p>
      <w:pPr>
        <w:pStyle w:val="FirstParagraph"/>
      </w:pPr>
      <w:r>
        <w:rPr>
          <w:rFonts w:hint="eastAsia"/>
        </w:rPr>
        <w:t xml:space="preserve">本报告不能证明“券商推荐直接导致股价上涨”，因为股价还受业绩、产业趋势、资金面和宏观风险共同影响。但数据说明，券商推荐至少会强化三种市场机制：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注意力集中。</w:t>
      </w:r>
      <w:r>
        <w:t xml:space="preserve"> </w:t>
      </w:r>
      <w:r>
        <w:rPr>
          <w:rFonts w:hint="eastAsia"/>
        </w:rPr>
        <w:t xml:space="preserve">多家券商反复推荐同一批股票，会让这些股票持续出现在投资者视野中。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研究共识强化。</w:t>
      </w:r>
      <w:r>
        <w:t xml:space="preserve"> </w:t>
      </w:r>
      <w:r>
        <w:rPr>
          <w:rFonts w:hint="eastAsia"/>
        </w:rPr>
        <w:t xml:space="preserve">当推荐逻辑相似时，投资者更容易把它理解为“机构一致看好”。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交易拥挤。</w:t>
      </w:r>
      <w:r>
        <w:t xml:space="preserve"> </w:t>
      </w:r>
      <w:r>
        <w:rPr>
          <w:rFonts w:hint="eastAsia"/>
        </w:rPr>
        <w:t xml:space="preserve">如果大量资金都沿着同一条科技成长线买入，行情上涨时收益会被放大，风格反转时回撤也会同步放大。</w:t>
      </w:r>
    </w:p>
    <w:p>
      <w:pPr>
        <w:pStyle w:val="CaptionedFigure"/>
      </w:pPr>
      <w:r>
        <w:drawing>
          <wp:inline>
            <wp:extent cx="5334000" cy="2054577"/>
            <wp:effectExtent b="0" l="0" r="0" t="0"/>
            <wp:docPr descr="抱团科技股收益与回撤" title="" id="39" name="Picture"/>
            <a:graphic>
              <a:graphicData uri="http://schemas.openxmlformats.org/drawingml/2006/picture">
                <pic:pic>
                  <pic:nvPicPr>
                    <pic:cNvPr descr="outputs/report_figures/fig3b_herding_tech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抱团科技股收益与回撤</w:t>
      </w:r>
    </w:p>
    <w:bookmarkEnd w:id="41"/>
    <w:bookmarkStart w:id="42" w:name="集中推荐后科技抱团股会不会短期大幅回调"/>
    <w:p>
      <w:pPr>
        <w:pStyle w:val="Heading3"/>
      </w:pPr>
      <w:r>
        <w:t xml:space="preserve">6.4 </w:t>
      </w:r>
      <w:r>
        <w:rPr>
          <w:rFonts w:hint="eastAsia"/>
        </w:rPr>
        <w:t xml:space="preserve">集中推荐后，科技抱团股会不会短期大幅回调？</w:t>
      </w:r>
    </w:p>
    <w:p>
      <w:pPr>
        <w:pStyle w:val="FirstParagraph"/>
      </w:pPr>
      <w:r>
        <w:rPr>
          <w:rFonts w:hint="eastAsia"/>
        </w:rPr>
        <w:t xml:space="preserve">数据给出的答案是：</w:t>
      </w:r>
      <w:r>
        <w:rPr>
          <w:rFonts w:hint="eastAsia"/>
          <w:b/>
          <w:bCs/>
        </w:rPr>
        <w:t xml:space="preserve">不是每次集中推荐后都会立刻大跌，但拥挤后的波动显著加大。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Top10科技股推荐次数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当月平均收益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下月平均收益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+4.88%</w:t>
            </w:r>
          </w:p>
        </w:tc>
        <w:tc>
          <w:tcPr/>
          <w:p>
            <w:pPr>
              <w:pStyle w:val="Compact"/>
            </w:pPr>
            <w:r>
              <w:t xml:space="preserve">+13.11%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+13.11%</w:t>
            </w:r>
          </w:p>
        </w:tc>
        <w:tc>
          <w:tcPr/>
          <w:p>
            <w:pPr>
              <w:pStyle w:val="Compact"/>
            </w:pPr>
            <w:r>
              <w:t xml:space="preserve">+26.65%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+26.65%</w:t>
            </w:r>
          </w:p>
        </w:tc>
        <w:tc>
          <w:tcPr/>
          <w:p>
            <w:pPr>
              <w:pStyle w:val="Compact"/>
            </w:pPr>
            <w:r>
              <w:t xml:space="preserve">+53.17%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+53.17%</w:t>
            </w:r>
          </w:p>
        </w:tc>
        <w:tc>
          <w:tcPr/>
          <w:p>
            <w:pPr>
              <w:pStyle w:val="Compact"/>
            </w:pPr>
            <w:r>
              <w:t xml:space="preserve">+11.85%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+11.85%</w:t>
            </w:r>
          </w:p>
        </w:tc>
        <w:tc>
          <w:tcPr/>
          <w:p>
            <w:pPr>
              <w:pStyle w:val="Compact"/>
            </w:pPr>
            <w:r>
              <w:t xml:space="preserve">+2.15%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+2.15%</w:t>
            </w:r>
          </w:p>
        </w:tc>
        <w:tc>
          <w:tcPr/>
          <w:p>
            <w:pPr>
              <w:pStyle w:val="Compact"/>
            </w:pPr>
            <w:r>
              <w:t xml:space="preserve">-3.20%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-3.20%</w:t>
            </w:r>
          </w:p>
        </w:tc>
        <w:tc>
          <w:tcPr/>
          <w:p>
            <w:pPr>
              <w:pStyle w:val="Compact"/>
            </w:pPr>
            <w:r>
              <w:t xml:space="preserve">+11.95%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+11.95%</w:t>
            </w:r>
          </w:p>
        </w:tc>
        <w:tc>
          <w:tcPr/>
          <w:p>
            <w:pPr>
              <w:pStyle w:val="Compact"/>
            </w:pPr>
            <w:r>
              <w:t xml:space="preserve">+6.53%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+6.53%</w:t>
            </w:r>
          </w:p>
        </w:tc>
        <w:tc>
          <w:tcPr/>
          <w:p>
            <w:pPr>
              <w:pStyle w:val="Compact"/>
            </w:pPr>
            <w:r>
              <w:t xml:space="preserve">-11.14%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-11.14%</w:t>
            </w:r>
          </w:p>
        </w:tc>
        <w:tc>
          <w:tcPr/>
          <w:p>
            <w:pPr>
              <w:pStyle w:val="Compact"/>
            </w:pPr>
            <w:r>
              <w:t xml:space="preserve">-8.12%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-8.12%</w:t>
            </w:r>
          </w:p>
        </w:tc>
        <w:tc>
          <w:tcPr/>
          <w:p>
            <w:pPr>
              <w:pStyle w:val="Compact"/>
            </w:pPr>
            <w:r>
              <w:t xml:space="preserve">+41.38%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+41.38%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Top10 </w:t>
      </w:r>
      <w:r>
        <w:rPr>
          <w:rFonts w:hint="eastAsia"/>
        </w:rPr>
        <w:t xml:space="preserve">科技抱团股在</w:t>
      </w:r>
      <w:r>
        <w:t xml:space="preserve"> 2025-08 </w:t>
      </w:r>
      <w:r>
        <w:rPr>
          <w:rFonts w:hint="eastAsia"/>
        </w:rPr>
        <w:t xml:space="preserve">当月平均收益达到</w:t>
      </w:r>
      <w:r>
        <w:t xml:space="preserve"> </w:t>
      </w:r>
      <w:r>
        <w:rPr>
          <w:rFonts w:hint="eastAsia"/>
        </w:rPr>
        <w:t xml:space="preserve">+53.17%，随后</w:t>
      </w:r>
      <w:r>
        <w:t xml:space="preserve"> 2025-09 </w:t>
      </w:r>
      <w:r>
        <w:rPr>
          <w:rFonts w:hint="eastAsia"/>
        </w:rPr>
        <w:t xml:space="preserve">仍为正，但收益降至</w:t>
      </w:r>
      <w:r>
        <w:t xml:space="preserve"> </w:t>
      </w:r>
      <w:r>
        <w:rPr>
          <w:rFonts w:hint="eastAsia"/>
        </w:rPr>
        <w:t xml:space="preserve">+11.85%，2025-10</w:t>
      </w:r>
      <w:r>
        <w:t xml:space="preserve"> </w:t>
      </w:r>
      <w:r>
        <w:rPr>
          <w:rFonts w:hint="eastAsia"/>
        </w:rPr>
        <w:t xml:space="preserve">进一步降至</w:t>
      </w:r>
      <w:r>
        <w:t xml:space="preserve"> </w:t>
      </w:r>
      <w:r>
        <w:rPr>
          <w:rFonts w:hint="eastAsia"/>
        </w:rPr>
        <w:t xml:space="preserve">+2.15%。当推荐次数进入高位（10</w:t>
      </w:r>
      <w:r>
        <w:t xml:space="preserve"> </w:t>
      </w:r>
      <w:r>
        <w:rPr>
          <w:rFonts w:hint="eastAsia"/>
        </w:rPr>
        <w:t xml:space="preserve">次及以上）后，下月平均收益约为</w:t>
      </w:r>
      <w:r>
        <w:t xml:space="preserve"> -0.80%。2026-02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2026-03，抱团科技股连续出现</w:t>
      </w:r>
      <w:r>
        <w:t xml:space="preserve"> -11.14%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-8.12%，Top10</w:t>
      </w:r>
      <w:r>
        <w:t xml:space="preserve"> </w:t>
      </w:r>
      <w:r>
        <w:rPr>
          <w:rFonts w:hint="eastAsia"/>
        </w:rPr>
        <w:t xml:space="preserve">抱团股月度组合最大回撤达到</w:t>
      </w:r>
      <w:r>
        <w:t xml:space="preserve"> -17.98%。</w:t>
      </w:r>
    </w:p>
    <w:p>
      <w:pPr>
        <w:pStyle w:val="BodyText"/>
      </w:pPr>
      <w:r>
        <w:rPr>
          <w:rFonts w:hint="eastAsia"/>
        </w:rPr>
        <w:t xml:space="preserve">这对投资者的启发很直接：看到多家券商集中推荐科技热门股，不能只理解为“机构共识强”，也要理解为“交易已经拥挤”。越是热门的金股，越需要反问三个问题：估值是否已经反映预期？业绩兑现是否跟得上？如果下个月风格回调，我能承受多大亏损？</w:t>
      </w:r>
    </w:p>
    <w:bookmarkEnd w:id="42"/>
    <w:bookmarkEnd w:id="43"/>
    <w:bookmarkStart w:id="47" w:name="维度三成长股还是价值股"/>
    <w:p>
      <w:pPr>
        <w:pStyle w:val="Heading2"/>
      </w:pPr>
      <w:r>
        <w:t xml:space="preserve">7. </w:t>
      </w:r>
      <w:r>
        <w:rPr>
          <w:rFonts w:hint="eastAsia"/>
        </w:rPr>
        <w:t xml:space="preserve">维度三：成长股还是价值股？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券商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成长股占比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价值股占比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营收增长中位数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股利收益率均值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中信建投证券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64.8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  <w:tc>
          <w:tcPr/>
          <w:p>
            <w:pPr>
              <w:pStyle w:val="Compact"/>
            </w:pPr>
            <w:r>
              <w:t xml:space="preserve">34.0%</w:t>
            </w:r>
          </w:p>
        </w:tc>
        <w:tc>
          <w:tcPr/>
          <w:p>
            <w:pPr>
              <w:pStyle w:val="Compact"/>
            </w:pPr>
            <w:r>
              <w:t xml:space="preserve">44.5</w:t>
            </w:r>
          </w:p>
        </w:tc>
        <w:tc>
          <w:tcPr/>
          <w:p>
            <w:pPr>
              <w:pStyle w:val="Compact"/>
            </w:pPr>
            <w:r>
              <w:t xml:space="preserve">+11.8%</w:t>
            </w:r>
          </w:p>
        </w:tc>
        <w:tc>
          <w:tcPr/>
          <w:p>
            <w:pPr>
              <w:pStyle w:val="Compact"/>
            </w:pPr>
            <w:r>
              <w:t xml:space="preserve">0.37%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华泰证券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59.7</w:t>
            </w:r>
          </w:p>
        </w:tc>
        <w:tc>
          <w:tcPr/>
          <w:p>
            <w:pPr>
              <w:pStyle w:val="Compact"/>
            </w:pPr>
            <w:r>
              <w:t xml:space="preserve">72.9%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+13.2%</w:t>
            </w:r>
          </w:p>
        </w:tc>
        <w:tc>
          <w:tcPr/>
          <w:p>
            <w:pPr>
              <w:pStyle w:val="Compact"/>
            </w:pPr>
            <w:r>
              <w:t xml:space="preserve">0.53%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招商证券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72.2</w:t>
            </w:r>
          </w:p>
        </w:tc>
        <w:tc>
          <w:tcPr/>
          <w:p>
            <w:pPr>
              <w:pStyle w:val="Compact"/>
            </w:pPr>
            <w:r>
              <w:t xml:space="preserve">89.7%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  <w:tc>
          <w:tcPr/>
          <w:p>
            <w:pPr>
              <w:pStyle w:val="Compact"/>
            </w:pPr>
            <w:r>
              <w:t xml:space="preserve">+23.6%</w:t>
            </w:r>
          </w:p>
        </w:tc>
        <w:tc>
          <w:tcPr/>
          <w:p>
            <w:pPr>
              <w:pStyle w:val="Compact"/>
            </w:pPr>
            <w:r>
              <w:t xml:space="preserve">0.17%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平安证券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64.0</w:t>
            </w:r>
          </w:p>
        </w:tc>
        <w:tc>
          <w:tcPr/>
          <w:p>
            <w:pPr>
              <w:pStyle w:val="Compact"/>
            </w:pPr>
            <w:r>
              <w:t xml:space="preserve">66.4%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  <w:tc>
          <w:tcPr/>
          <w:p>
            <w:pPr>
              <w:pStyle w:val="Compact"/>
            </w:pPr>
            <w:r>
              <w:t xml:space="preserve">37.9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0.35%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天风证券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64.1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  <w:r>
              <w:t xml:space="preserve">+12.1%</w:t>
            </w:r>
          </w:p>
        </w:tc>
        <w:tc>
          <w:tcPr/>
          <w:p>
            <w:pPr>
              <w:pStyle w:val="Compact"/>
            </w:pPr>
            <w:r>
              <w:t xml:space="preserve">0.29%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开源证券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66.2</w:t>
            </w:r>
          </w:p>
        </w:tc>
        <w:tc>
          <w:tcPr/>
          <w:p>
            <w:pPr>
              <w:pStyle w:val="Compact"/>
            </w:pPr>
            <w:r>
              <w:t xml:space="preserve">75.5%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38.8</w:t>
            </w:r>
          </w:p>
        </w:tc>
        <w:tc>
          <w:tcPr/>
          <w:p>
            <w:pPr>
              <w:pStyle w:val="Compact"/>
            </w:pPr>
            <w:r>
              <w:t xml:space="preserve">+16.0%</w:t>
            </w:r>
          </w:p>
        </w:tc>
        <w:tc>
          <w:tcPr/>
          <w:p>
            <w:pPr>
              <w:pStyle w:val="Compact"/>
            </w:pPr>
            <w:r>
              <w:t xml:space="preserve">0.34%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成长股占比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价值股占比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62.7</w:t>
            </w:r>
          </w:p>
        </w:tc>
        <w:tc>
          <w:tcPr/>
          <w:p>
            <w:pPr>
              <w:pStyle w:val="Compact"/>
            </w:pPr>
            <w:r>
              <w:t xml:space="preserve">68.9%</w:t>
            </w:r>
          </w:p>
        </w:tc>
        <w:tc>
          <w:tcPr/>
          <w:p>
            <w:pPr>
              <w:pStyle w:val="Compact"/>
            </w:pPr>
            <w:r>
              <w:t xml:space="preserve">31.1%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67.7</w:t>
            </w:r>
          </w:p>
        </w:tc>
        <w:tc>
          <w:tcPr/>
          <w:p>
            <w:pPr>
              <w:pStyle w:val="Compact"/>
            </w:pPr>
            <w:r>
              <w:t xml:space="preserve">76.9%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64.6</w:t>
            </w:r>
          </w:p>
        </w:tc>
        <w:tc>
          <w:tcPr/>
          <w:p>
            <w:pPr>
              <w:pStyle w:val="Compact"/>
            </w:pPr>
            <w:r>
              <w:t xml:space="preserve">65.1%</w:t>
            </w:r>
          </w:p>
        </w:tc>
        <w:tc>
          <w:tcPr/>
          <w:p>
            <w:pPr>
              <w:pStyle w:val="Compact"/>
            </w:pPr>
            <w:r>
              <w:t xml:space="preserve">32.6%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</w:tbl>
    <w:p>
      <w:pPr>
        <w:pStyle w:val="CaptionedFigure"/>
      </w:pPr>
      <w:r>
        <w:drawing>
          <wp:inline>
            <wp:extent cx="5334000" cy="2424545"/>
            <wp:effectExtent b="0" l="0" r="0" t="0"/>
            <wp:docPr descr="券商推荐风格" title="" id="45" name="Picture"/>
            <a:graphic>
              <a:graphicData uri="http://schemas.openxmlformats.org/drawingml/2006/picture">
                <pic:pic>
                  <pic:nvPicPr>
                    <pic:cNvPr descr="outputs/report_figures/fig4_sty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券商推荐风格</w:t>
      </w:r>
    </w:p>
    <w:p>
      <w:pPr>
        <w:pStyle w:val="BodyText"/>
      </w:pPr>
      <w:r>
        <w:rPr>
          <w:rFonts w:hint="eastAsia"/>
        </w:rPr>
        <w:t xml:space="preserve">六家券商整体明显偏成长，所有券商成长股占比都超过</w:t>
      </w:r>
      <w:r>
        <w:t xml:space="preserve"> </w:t>
      </w:r>
      <w:r>
        <w:rPr>
          <w:rFonts w:hint="eastAsia"/>
        </w:rPr>
        <w:t xml:space="preserve">60%，招商证券最高，达到</w:t>
      </w:r>
      <w:r>
        <w:t xml:space="preserve"> </w:t>
      </w:r>
      <w:r>
        <w:rPr>
          <w:rFonts w:hint="eastAsia"/>
        </w:rPr>
        <w:t xml:space="preserve">89.7%。成长股通常有三个特征：估值更高、分红更低、业绩增长预期更强。这样的股票在科技牛市里弹性更大，但也更依赖预期，一旦业绩不及预期或市场利率、风险偏好变化，回撤会比传统价值股更快。</w:t>
      </w:r>
    </w:p>
    <w:p>
      <w:pPr>
        <w:pStyle w:val="BodyText"/>
      </w:pPr>
      <w:r>
        <w:rPr>
          <w:rFonts w:hint="eastAsia"/>
        </w:rPr>
        <w:t xml:space="preserve">这解释了为什么金股组合在</w:t>
      </w:r>
      <w:r>
        <w:t xml:space="preserve"> 2025-08、2026-04 </w:t>
      </w:r>
      <w:r>
        <w:rPr>
          <w:rFonts w:hint="eastAsia"/>
        </w:rPr>
        <w:t xml:space="preserve">这类成长行情强势月份表现亮眼，也解释了为什么</w:t>
      </w:r>
      <w:r>
        <w:t xml:space="preserve"> 2026-03 </w:t>
      </w:r>
      <w:r>
        <w:rPr>
          <w:rFonts w:hint="eastAsia"/>
        </w:rPr>
        <w:t xml:space="preserve">市场调整时，多数券商组合一起回撤。</w:t>
      </w:r>
    </w:p>
    <w:bookmarkEnd w:id="47"/>
    <w:bookmarkStart w:id="52" w:name="维度四100-万元跟投能否跑赢大盘"/>
    <w:p>
      <w:pPr>
        <w:pStyle w:val="Heading2"/>
      </w:pPr>
      <w:r>
        <w:t xml:space="preserve">8. </w:t>
      </w:r>
      <w:r>
        <w:rPr>
          <w:rFonts w:hint="eastAsia"/>
        </w:rPr>
        <w:t xml:space="preserve">维度四：100</w:t>
      </w:r>
      <w:r>
        <w:t xml:space="preserve"> </w:t>
      </w:r>
      <w:r>
        <w:rPr>
          <w:rFonts w:hint="eastAsia"/>
        </w:rPr>
        <w:t xml:space="preserve">万元跟投，能否跑赢大盘？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月度波动率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华泰证券</w:t>
            </w:r>
          </w:p>
        </w:tc>
        <w:tc>
          <w:tcPr/>
          <w:p>
            <w:pPr>
              <w:pStyle w:val="Compact"/>
            </w:pPr>
            <w:r>
              <w:t xml:space="preserve">+101.70%</w:t>
            </w:r>
          </w:p>
        </w:tc>
        <w:tc>
          <w:tcPr/>
          <w:p>
            <w:pPr>
              <w:pStyle w:val="Compact"/>
            </w:pPr>
            <w:r>
              <w:t xml:space="preserve">201.70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101.70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+6.24%</w:t>
            </w:r>
          </w:p>
        </w:tc>
        <w:tc>
          <w:tcPr/>
          <w:p>
            <w:pPr>
              <w:pStyle w:val="Compact"/>
            </w:pPr>
            <w:r>
              <w:t xml:space="preserve">7.05%</w:t>
            </w:r>
          </w:p>
        </w:tc>
        <w:tc>
          <w:tcPr/>
          <w:p>
            <w:pPr>
              <w:pStyle w:val="Compact"/>
            </w:pPr>
            <w:r>
              <w:t xml:space="preserve">-9.84%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创业板指</w:t>
            </w:r>
          </w:p>
        </w:tc>
        <w:tc>
          <w:tcPr/>
          <w:p>
            <w:pPr>
              <w:pStyle w:val="Compact"/>
            </w:pPr>
            <w:r>
              <w:t xml:space="preserve">+88.76%</w:t>
            </w:r>
          </w:p>
        </w:tc>
        <w:tc>
          <w:tcPr/>
          <w:p>
            <w:pPr>
              <w:pStyle w:val="Compact"/>
            </w:pPr>
            <w:r>
              <w:t xml:space="preserve">188.76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88.76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+5.74%</w:t>
            </w:r>
          </w:p>
        </w:tc>
        <w:tc>
          <w:tcPr/>
          <w:p>
            <w:pPr>
              <w:pStyle w:val="Compact"/>
            </w:pPr>
            <w:r>
              <w:t xml:space="preserve">8.46%</w:t>
            </w:r>
          </w:p>
        </w:tc>
        <w:tc>
          <w:tcPr/>
          <w:p>
            <w:pPr>
              <w:pStyle w:val="Compact"/>
            </w:pPr>
            <w:r>
              <w:t xml:space="preserve">-5.73%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招商证券</w:t>
            </w:r>
          </w:p>
        </w:tc>
        <w:tc>
          <w:tcPr/>
          <w:p>
            <w:pPr>
              <w:pStyle w:val="Compact"/>
            </w:pPr>
            <w:r>
              <w:t xml:space="preserve">+81.39%</w:t>
            </w:r>
          </w:p>
        </w:tc>
        <w:tc>
          <w:tcPr/>
          <w:p>
            <w:pPr>
              <w:pStyle w:val="Compact"/>
            </w:pPr>
            <w:r>
              <w:t xml:space="preserve">181.39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81.39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+5.46%</w:t>
            </w:r>
          </w:p>
        </w:tc>
        <w:tc>
          <w:tcPr/>
          <w:p>
            <w:pPr>
              <w:pStyle w:val="Compact"/>
            </w:pPr>
            <w:r>
              <w:t xml:space="preserve">9.43%</w:t>
            </w:r>
          </w:p>
        </w:tc>
        <w:tc>
          <w:tcPr/>
          <w:p>
            <w:pPr>
              <w:pStyle w:val="Compact"/>
            </w:pPr>
            <w:r>
              <w:t xml:space="preserve">-10.77%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中信建投证券</w:t>
            </w:r>
          </w:p>
        </w:tc>
        <w:tc>
          <w:tcPr/>
          <w:p>
            <w:pPr>
              <w:pStyle w:val="Compact"/>
            </w:pPr>
            <w:r>
              <w:t xml:space="preserve">+62.07%</w:t>
            </w:r>
          </w:p>
        </w:tc>
        <w:tc>
          <w:tcPr/>
          <w:p>
            <w:pPr>
              <w:pStyle w:val="Compact"/>
            </w:pPr>
            <w:r>
              <w:t xml:space="preserve">162.07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62.07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+4.32%</w:t>
            </w:r>
          </w:p>
        </w:tc>
        <w:tc>
          <w:tcPr/>
          <w:p>
            <w:pPr>
              <w:pStyle w:val="Compact"/>
            </w:pPr>
            <w:r>
              <w:t xml:space="preserve">6.92%</w:t>
            </w:r>
          </w:p>
        </w:tc>
        <w:tc>
          <w:tcPr/>
          <w:p>
            <w:pPr>
              <w:pStyle w:val="Compact"/>
            </w:pPr>
            <w:r>
              <w:t xml:space="preserve">-8.55%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开源证券</w:t>
            </w:r>
          </w:p>
        </w:tc>
        <w:tc>
          <w:tcPr/>
          <w:p>
            <w:pPr>
              <w:pStyle w:val="Compact"/>
            </w:pPr>
            <w:r>
              <w:t xml:space="preserve">+60.91%</w:t>
            </w:r>
          </w:p>
        </w:tc>
        <w:tc>
          <w:tcPr/>
          <w:p>
            <w:pPr>
              <w:pStyle w:val="Compact"/>
            </w:pPr>
            <w:r>
              <w:t xml:space="preserve">160.91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60.91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+4.60%</w:t>
            </w:r>
          </w:p>
        </w:tc>
        <w:tc>
          <w:tcPr/>
          <w:p>
            <w:pPr>
              <w:pStyle w:val="Compact"/>
            </w:pPr>
            <w:r>
              <w:t xml:space="preserve">11.13%</w:t>
            </w:r>
          </w:p>
        </w:tc>
        <w:tc>
          <w:tcPr/>
          <w:p>
            <w:pPr>
              <w:pStyle w:val="Compact"/>
            </w:pPr>
            <w:r>
              <w:t xml:space="preserve">-19.07%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平安证券</w:t>
            </w:r>
          </w:p>
        </w:tc>
        <w:tc>
          <w:tcPr/>
          <w:p>
            <w:pPr>
              <w:pStyle w:val="Compact"/>
            </w:pPr>
            <w:r>
              <w:t xml:space="preserve">+57.15%</w:t>
            </w:r>
          </w:p>
        </w:tc>
        <w:tc>
          <w:tcPr/>
          <w:p>
            <w:pPr>
              <w:pStyle w:val="Compact"/>
            </w:pPr>
            <w:r>
              <w:t xml:space="preserve">157.15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57.15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+4.17%</w:t>
            </w:r>
          </w:p>
        </w:tc>
        <w:tc>
          <w:tcPr/>
          <w:p>
            <w:pPr>
              <w:pStyle w:val="Compact"/>
            </w:pPr>
            <w:r>
              <w:t xml:space="preserve">8.59%</w:t>
            </w:r>
          </w:p>
        </w:tc>
        <w:tc>
          <w:tcPr/>
          <w:p>
            <w:pPr>
              <w:pStyle w:val="Compact"/>
            </w:pPr>
            <w:r>
              <w:t xml:space="preserve">-15.44%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深证成指</w:t>
            </w:r>
          </w:p>
        </w:tc>
        <w:tc>
          <w:tcPr/>
          <w:p>
            <w:pPr>
              <w:pStyle w:val="Compact"/>
            </w:pPr>
            <w:r>
              <w:t xml:space="preserve">+52.60%</w:t>
            </w:r>
          </w:p>
        </w:tc>
        <w:tc>
          <w:tcPr/>
          <w:p>
            <w:pPr>
              <w:pStyle w:val="Compact"/>
            </w:pPr>
            <w:r>
              <w:t xml:space="preserve">152.60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52.60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+3.75%</w:t>
            </w:r>
          </w:p>
        </w:tc>
        <w:tc>
          <w:tcPr/>
          <w:p>
            <w:pPr>
              <w:pStyle w:val="Compact"/>
            </w:pPr>
            <w:r>
              <w:t xml:space="preserve">6.09%</w:t>
            </w:r>
          </w:p>
        </w:tc>
        <w:tc>
          <w:tcPr/>
          <w:p>
            <w:pPr>
              <w:pStyle w:val="Compact"/>
            </w:pPr>
            <w:r>
              <w:t xml:space="preserve">-7.02%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天风证券</w:t>
            </w:r>
          </w:p>
        </w:tc>
        <w:tc>
          <w:tcPr/>
          <w:p>
            <w:pPr>
              <w:pStyle w:val="Compact"/>
            </w:pPr>
            <w:r>
              <w:t xml:space="preserve">+50.79%</w:t>
            </w:r>
          </w:p>
        </w:tc>
        <w:tc>
          <w:tcPr/>
          <w:p>
            <w:pPr>
              <w:pStyle w:val="Compact"/>
            </w:pPr>
            <w:r>
              <w:t xml:space="preserve">150.79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50.79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+3.66%</w:t>
            </w:r>
          </w:p>
        </w:tc>
        <w:tc>
          <w:tcPr/>
          <w:p>
            <w:pPr>
              <w:pStyle w:val="Compact"/>
            </w:pPr>
            <w:r>
              <w:t xml:space="preserve">6.32%</w:t>
            </w:r>
          </w:p>
        </w:tc>
        <w:tc>
          <w:tcPr/>
          <w:p>
            <w:pPr>
              <w:pStyle w:val="Compact"/>
            </w:pPr>
            <w:r>
              <w:t xml:space="preserve">-10.15%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上证指数</w:t>
            </w:r>
          </w:p>
        </w:tc>
        <w:tc>
          <w:tcPr/>
          <w:p>
            <w:pPr>
              <w:pStyle w:val="Compact"/>
            </w:pPr>
            <w:r>
              <w:t xml:space="preserve">+25.41%</w:t>
            </w:r>
          </w:p>
        </w:tc>
        <w:tc>
          <w:tcPr/>
          <w:p>
            <w:pPr>
              <w:pStyle w:val="Compact"/>
            </w:pPr>
            <w:r>
              <w:t xml:space="preserve">125.41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25.41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+1.96%</w:t>
            </w:r>
          </w:p>
        </w:tc>
        <w:tc>
          <w:tcPr/>
          <w:p>
            <w:pPr>
              <w:pStyle w:val="Compact"/>
            </w:pPr>
            <w:r>
              <w:t xml:space="preserve">3.62%</w:t>
            </w:r>
          </w:p>
        </w:tc>
        <w:tc>
          <w:tcPr/>
          <w:p>
            <w:pPr>
              <w:pStyle w:val="Compact"/>
            </w:pPr>
            <w:r>
              <w:t xml:space="preserve">-6.51%</w:t>
            </w:r>
          </w:p>
        </w:tc>
      </w:tr>
    </w:tbl>
    <w:p>
      <w:pPr>
        <w:pStyle w:val="CaptionedFigure"/>
      </w:pPr>
      <w:r>
        <w:drawing>
          <wp:inline>
            <wp:extent cx="5334000" cy="1975555"/>
            <wp:effectExtent b="0" l="0" r="0" t="0"/>
            <wp:docPr descr="组合跟投收益" title="" id="49" name="Picture"/>
            <a:graphic>
              <a:graphicData uri="http://schemas.openxmlformats.org/drawingml/2006/picture">
                <pic:pic>
                  <pic:nvPicPr>
                    <pic:cNvPr descr="outputs/report_figures/fig5_portfoli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组合跟投收益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100 </w:t>
      </w:r>
      <w:r>
        <w:rPr>
          <w:rFonts w:hint="eastAsia"/>
        </w:rPr>
        <w:t xml:space="preserve">万元本金逐月等权跟投，华泰证券期末资产最高，为</w:t>
      </w:r>
      <w:r>
        <w:t xml:space="preserve"> 201.70 </w:t>
      </w:r>
      <w:r>
        <w:rPr>
          <w:rFonts w:hint="eastAsia"/>
        </w:rPr>
        <w:t xml:space="preserve">万元，累计收益</w:t>
      </w:r>
      <w:r>
        <w:t xml:space="preserve"> </w:t>
      </w:r>
      <w:r>
        <w:rPr>
          <w:rFonts w:hint="eastAsia"/>
        </w:rPr>
        <w:t xml:space="preserve">+101.70%。如果用上证指数作基准，六家券商全部跑赢；如果用深证成指作基准，5</w:t>
      </w:r>
      <w:r>
        <w:t xml:space="preserve"> </w:t>
      </w:r>
      <w:r>
        <w:rPr>
          <w:rFonts w:hint="eastAsia"/>
        </w:rPr>
        <w:t xml:space="preserve">家跑赢；如果用更贴近科技成长行情的创业板指作基准，只有</w:t>
      </w:r>
      <w:r>
        <w:t xml:space="preserve"> 1 </w:t>
      </w:r>
      <w:r>
        <w:rPr>
          <w:rFonts w:hint="eastAsia"/>
        </w:rPr>
        <w:t xml:space="preserve">家跑赢，即</w:t>
      </w:r>
      <w:r>
        <w:t xml:space="preserve"> </w:t>
      </w:r>
      <w:r>
        <w:rPr>
          <w:rFonts w:hint="eastAsia"/>
        </w:rPr>
        <w:t xml:space="preserve">华泰证券。</w:t>
      </w:r>
    </w:p>
    <w:p>
      <w:pPr>
        <w:pStyle w:val="BodyText"/>
      </w:pPr>
      <w:r>
        <w:rPr>
          <w:rFonts w:hint="eastAsia"/>
        </w:rPr>
        <w:t xml:space="preserve">所以，“券商金股能不能跑赢大盘”要看你把大盘定义成什么：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对稳健宽基投资者来说，金股组合大概率提供了比上证更高的收益，但波动也更大。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对本来就会买创业板或科技成长</w:t>
      </w:r>
      <w:r>
        <w:t xml:space="preserve"> ETF </w:t>
      </w:r>
      <w:r>
        <w:rPr>
          <w:rFonts w:hint="eastAsia"/>
        </w:rPr>
        <w:t xml:space="preserve">的投资者来说，只有最强的券商组合才真正跑赢了可替代基准。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对追求稳定回撤控制的投资者来说，创业板指最大回撤只有</w:t>
      </w:r>
      <w:r>
        <w:t xml:space="preserve"> </w:t>
      </w:r>
      <w:r>
        <w:rPr>
          <w:rFonts w:hint="eastAsia"/>
        </w:rPr>
        <w:t xml:space="preserve">-5.73%，部分券商组合最大回撤超过</w:t>
      </w:r>
      <w:r>
        <w:t xml:space="preserve"> </w:t>
      </w:r>
      <w:r>
        <w:rPr>
          <w:rFonts w:hint="eastAsia"/>
        </w:rPr>
        <w:t xml:space="preserve">10%，开源证券达到</w:t>
      </w:r>
      <w:r>
        <w:t xml:space="preserve"> </w:t>
      </w:r>
      <w:r>
        <w:rPr>
          <w:rFonts w:hint="eastAsia"/>
        </w:rPr>
        <w:t xml:space="preserve">-19.07%，风险并不低。</w:t>
      </w:r>
    </w:p>
    <w:bookmarkStart w:id="51" w:name="哪些月份跑赢或跑输创业板"/>
    <w:p>
      <w:pPr>
        <w:pStyle w:val="Heading3"/>
      </w:pPr>
      <w:r>
        <w:t xml:space="preserve">8.1 </w:t>
      </w:r>
      <w:r>
        <w:rPr>
          <w:rFonts w:hint="eastAsia"/>
        </w:rPr>
        <w:t xml:space="preserve">哪些月份跑赢或跑输创业板？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六家券商平均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创业板指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</w:pPr>
            <w:r>
              <w:t xml:space="preserve">+0.76%</w:t>
            </w:r>
          </w:p>
        </w:tc>
        <w:tc>
          <w:tcPr/>
          <w:p>
            <w:pPr>
              <w:pStyle w:val="Compact"/>
            </w:pPr>
            <w:r>
              <w:t xml:space="preserve">+2.32%</w:t>
            </w:r>
          </w:p>
        </w:tc>
        <w:tc>
          <w:tcPr/>
          <w:p>
            <w:pPr>
              <w:pStyle w:val="Compact"/>
            </w:pPr>
            <w:r>
              <w:t xml:space="preserve">-1.55%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</w:t>
            </w:r>
          </w:p>
        </w:tc>
        <w:tc>
          <w:tcPr/>
          <w:p>
            <w:pPr>
              <w:pStyle w:val="Compact"/>
            </w:pPr>
            <w:r>
              <w:t xml:space="preserve">+5.53%</w:t>
            </w:r>
          </w:p>
        </w:tc>
        <w:tc>
          <w:tcPr/>
          <w:p>
            <w:pPr>
              <w:pStyle w:val="Compact"/>
            </w:pPr>
            <w:r>
              <w:t xml:space="preserve">+8.02%</w:t>
            </w:r>
          </w:p>
        </w:tc>
        <w:tc>
          <w:tcPr/>
          <w:p>
            <w:pPr>
              <w:pStyle w:val="Compact"/>
            </w:pPr>
            <w:r>
              <w:t xml:space="preserve">-2.49%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</w:t>
            </w:r>
          </w:p>
        </w:tc>
        <w:tc>
          <w:tcPr/>
          <w:p>
            <w:pPr>
              <w:pStyle w:val="Compact"/>
            </w:pPr>
            <w:r>
              <w:t xml:space="preserve">+11.19%</w:t>
            </w:r>
          </w:p>
        </w:tc>
        <w:tc>
          <w:tcPr/>
          <w:p>
            <w:pPr>
              <w:pStyle w:val="Compact"/>
            </w:pPr>
            <w:r>
              <w:t xml:space="preserve">+8.14%</w:t>
            </w:r>
          </w:p>
        </w:tc>
        <w:tc>
          <w:tcPr/>
          <w:p>
            <w:pPr>
              <w:pStyle w:val="Compact"/>
            </w:pPr>
            <w:r>
              <w:t xml:space="preserve">+3.05%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</w:t>
            </w:r>
          </w:p>
        </w:tc>
        <w:tc>
          <w:tcPr/>
          <w:p>
            <w:pPr>
              <w:pStyle w:val="Compact"/>
            </w:pPr>
            <w:r>
              <w:t xml:space="preserve">+17.32%</w:t>
            </w:r>
          </w:p>
        </w:tc>
        <w:tc>
          <w:tcPr/>
          <w:p>
            <w:pPr>
              <w:pStyle w:val="Compact"/>
            </w:pPr>
            <w:r>
              <w:t xml:space="preserve">+24.13%</w:t>
            </w:r>
          </w:p>
        </w:tc>
        <w:tc>
          <w:tcPr/>
          <w:p>
            <w:pPr>
              <w:pStyle w:val="Compact"/>
            </w:pPr>
            <w:r>
              <w:t xml:space="preserve">-6.81%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</w:t>
            </w:r>
          </w:p>
        </w:tc>
        <w:tc>
          <w:tcPr/>
          <w:p>
            <w:pPr>
              <w:pStyle w:val="Compact"/>
            </w:pPr>
            <w:r>
              <w:t xml:space="preserve">+2.42%</w:t>
            </w:r>
          </w:p>
        </w:tc>
        <w:tc>
          <w:tcPr/>
          <w:p>
            <w:pPr>
              <w:pStyle w:val="Compact"/>
            </w:pPr>
            <w:r>
              <w:t xml:space="preserve">+12.04%</w:t>
            </w:r>
          </w:p>
        </w:tc>
        <w:tc>
          <w:tcPr/>
          <w:p>
            <w:pPr>
              <w:pStyle w:val="Compact"/>
            </w:pPr>
            <w:r>
              <w:t xml:space="preserve">-9.62%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-1.56%</w:t>
            </w:r>
          </w:p>
        </w:tc>
        <w:tc>
          <w:tcPr/>
          <w:p>
            <w:pPr>
              <w:pStyle w:val="Compact"/>
            </w:pPr>
            <w:r>
              <w:t xml:space="preserve">+1.83%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  <w:tc>
          <w:tcPr/>
          <w:p>
            <w:pPr>
              <w:pStyle w:val="Compact"/>
            </w:pPr>
            <w:r>
              <w:t xml:space="preserve">-4.23%</w:t>
            </w:r>
          </w:p>
        </w:tc>
        <w:tc>
          <w:tcPr/>
          <w:p>
            <w:pPr>
              <w:pStyle w:val="Compact"/>
            </w:pPr>
            <w:r>
              <w:t xml:space="preserve">+5.57%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</w:pPr>
            <w:r>
              <w:t xml:space="preserve">+7.10%</w:t>
            </w:r>
          </w:p>
        </w:tc>
        <w:tc>
          <w:tcPr/>
          <w:p>
            <w:pPr>
              <w:pStyle w:val="Compact"/>
            </w:pPr>
            <w:r>
              <w:t xml:space="preserve">+4.93%</w:t>
            </w:r>
          </w:p>
        </w:tc>
        <w:tc>
          <w:tcPr/>
          <w:p>
            <w:pPr>
              <w:pStyle w:val="Compact"/>
            </w:pPr>
            <w:r>
              <w:t xml:space="preserve">+2.16%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</w:pPr>
            <w:r>
              <w:t xml:space="preserve">+7.54%</w:t>
            </w:r>
          </w:p>
        </w:tc>
        <w:tc>
          <w:tcPr/>
          <w:p>
            <w:pPr>
              <w:pStyle w:val="Compact"/>
            </w:pPr>
            <w:r>
              <w:t xml:space="preserve">+4.47%</w:t>
            </w:r>
          </w:p>
        </w:tc>
        <w:tc>
          <w:tcPr/>
          <w:p>
            <w:pPr>
              <w:pStyle w:val="Compact"/>
            </w:pPr>
            <w:r>
              <w:t xml:space="preserve">+3.07%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-1.08%</w:t>
            </w:r>
          </w:p>
        </w:tc>
        <w:tc>
          <w:tcPr/>
          <w:p>
            <w:pPr>
              <w:pStyle w:val="Compact"/>
            </w:pPr>
            <w:r>
              <w:t xml:space="preserve">+2.29%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-10.94%</w:t>
            </w:r>
          </w:p>
        </w:tc>
        <w:tc>
          <w:tcPr/>
          <w:p>
            <w:pPr>
              <w:pStyle w:val="Compact"/>
            </w:pPr>
            <w:r>
              <w:t xml:space="preserve">-3.79%</w:t>
            </w:r>
          </w:p>
        </w:tc>
        <w:tc>
          <w:tcPr/>
          <w:p>
            <w:pPr>
              <w:pStyle w:val="Compact"/>
            </w:pPr>
            <w:r>
              <w:t xml:space="preserve">-7.15%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+13.15%</w:t>
            </w:r>
          </w:p>
        </w:tc>
        <w:tc>
          <w:tcPr/>
          <w:p>
            <w:pPr>
              <w:pStyle w:val="Compact"/>
            </w:pPr>
            <w:r>
              <w:t xml:space="preserve">+15.45%</w:t>
            </w:r>
          </w:p>
        </w:tc>
        <w:tc>
          <w:tcPr/>
          <w:p>
            <w:pPr>
              <w:pStyle w:val="Compact"/>
            </w:pPr>
            <w:r>
              <w:t xml:space="preserve">-2.30%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六家券商平均收益有</w:t>
      </w:r>
      <w:r>
        <w:t xml:space="preserve"> 6 </w:t>
      </w:r>
      <w:r>
        <w:rPr>
          <w:rFonts w:hint="eastAsia"/>
        </w:rPr>
        <w:t xml:space="preserve">个月跑输创业板。跑输最明显的是</w:t>
      </w:r>
      <w:r>
        <w:t xml:space="preserve"> </w:t>
      </w:r>
      <w:r>
        <w:rPr>
          <w:rFonts w:hint="eastAsia"/>
        </w:rPr>
        <w:t xml:space="preserve">2025-09，相对创业板为</w:t>
      </w:r>
      <w:r>
        <w:t xml:space="preserve"> </w:t>
      </w:r>
      <w:r>
        <w:rPr>
          <w:rFonts w:hint="eastAsia"/>
        </w:rPr>
        <w:t xml:space="preserve">-9.62%；跑赢最明显的是</w:t>
      </w:r>
      <w:r>
        <w:t xml:space="preserve"> </w:t>
      </w:r>
      <w:r>
        <w:rPr>
          <w:rFonts w:hint="eastAsia"/>
        </w:rPr>
        <w:t xml:space="preserve">2025-11，相对创业板为</w:t>
      </w:r>
      <w:r>
        <w:t xml:space="preserve"> +5.57%。</w:t>
      </w:r>
    </w:p>
    <w:p>
      <w:pPr>
        <w:pStyle w:val="BodyText"/>
      </w:pPr>
      <w:r>
        <w:rPr>
          <w:rFonts w:hint="eastAsia"/>
        </w:rPr>
        <w:t xml:space="preserve">跑输的主要原因有三点：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创业板在科技主升浪中弹性更强。</w:t>
      </w:r>
      <w:r>
        <w:t xml:space="preserve"> </w:t>
      </w:r>
      <w:r>
        <w:t xml:space="preserve">2025-08 </w:t>
      </w:r>
      <w:r>
        <w:rPr>
          <w:rFonts w:hint="eastAsia"/>
        </w:rPr>
        <w:t xml:space="preserve">和</w:t>
      </w:r>
      <w:r>
        <w:t xml:space="preserve"> 2025-09 </w:t>
      </w:r>
      <w:r>
        <w:rPr>
          <w:rFonts w:hint="eastAsia"/>
        </w:rPr>
        <w:t xml:space="preserve">创业板指分别上涨</w:t>
      </w:r>
      <w:r>
        <w:t xml:space="preserve"> </w:t>
      </w:r>
      <w:r>
        <w:rPr>
          <w:rFonts w:hint="eastAsia"/>
        </w:rPr>
        <w:t xml:space="preserve">+24.13%、+12.04%，六家券商虽然偏科技，但并不是满仓创业板科技股，还配置了材料、工业、消费、金融等行业。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金股组合存在分散收益被稀释的问题。</w:t>
      </w:r>
      <w:r>
        <w:t xml:space="preserve"> </w:t>
      </w:r>
      <w:r>
        <w:rPr>
          <w:rFonts w:hint="eastAsia"/>
        </w:rPr>
        <w:t xml:space="preserve">分散能降低单股风险，但在最强主题行情中，也会稀释龙头科技股带来的收益。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热门股回调会拖累组合。</w:t>
      </w:r>
      <w:r>
        <w:t xml:space="preserve"> </w:t>
      </w:r>
      <w:r>
        <w:t xml:space="preserve">2026-03 </w:t>
      </w:r>
      <w:r>
        <w:rPr>
          <w:rFonts w:hint="eastAsia"/>
        </w:rPr>
        <w:t xml:space="preserve">六家券商平均收益</w:t>
      </w:r>
      <w:r>
        <w:t xml:space="preserve"> </w:t>
      </w:r>
      <w:r>
        <w:rPr>
          <w:rFonts w:hint="eastAsia"/>
        </w:rPr>
        <w:t xml:space="preserve">-10.94%，弱于创业板指的</w:t>
      </w:r>
      <w:r>
        <w:t xml:space="preserve"> </w:t>
      </w:r>
      <w:r>
        <w:rPr>
          <w:rFonts w:hint="eastAsia"/>
        </w:rPr>
        <w:t xml:space="preserve">-3.79%，与此前科技抱团股的连续回撤有关。</w:t>
      </w:r>
    </w:p>
    <w:p>
      <w:pPr>
        <w:pStyle w:val="FirstParagraph"/>
      </w:pPr>
      <w:r>
        <w:rPr>
          <w:rFonts w:hint="eastAsia"/>
        </w:rPr>
        <w:t xml:space="preserve">跑赢的原因也很清楚：当市场不是单边拉升创业板，而是结构扩散到材料、工业、消费或个股</w:t>
      </w:r>
      <w:r>
        <w:t xml:space="preserve"> Alpha </w:t>
      </w:r>
      <w:r>
        <w:rPr>
          <w:rFonts w:hint="eastAsia"/>
        </w:rPr>
        <w:t xml:space="preserve">时，券商金股能通过主动选股获得更好表现。例如</w:t>
      </w:r>
      <w:r>
        <w:t xml:space="preserve"> 2025-11 </w:t>
      </w:r>
      <w:r>
        <w:rPr>
          <w:rFonts w:hint="eastAsia"/>
        </w:rPr>
        <w:t xml:space="preserve">创业板调整，而部分券商组合受益于非创业板或非纯科技标的，六家平均相对创业板跑赢</w:t>
      </w:r>
      <w:r>
        <w:t xml:space="preserve"> +5.57%。</w:t>
      </w:r>
    </w:p>
    <w:bookmarkEnd w:id="51"/>
    <w:bookmarkEnd w:id="52"/>
    <w:bookmarkStart w:id="53" w:name="初步结论问题有多严重谁受影响"/>
    <w:p>
      <w:pPr>
        <w:pStyle w:val="Heading2"/>
      </w:pPr>
      <w:r>
        <w:t xml:space="preserve">9. </w:t>
      </w:r>
      <w:r>
        <w:rPr>
          <w:rFonts w:hint="eastAsia"/>
        </w:rPr>
        <w:t xml:space="preserve">初步结论：问题有多严重，谁受影响？</w:t>
      </w:r>
    </w:p>
    <w:p>
      <w:pPr>
        <w:pStyle w:val="FirstParagraph"/>
      </w:pPr>
      <w:r>
        <w:rPr>
          <w:rFonts w:hint="eastAsia"/>
          <w:b/>
          <w:bCs/>
        </w:rPr>
        <w:t xml:space="preserve">第一，背景中描述的“金股是否值得跟投”不是小问题。</w:t>
      </w:r>
      <w:r>
        <w:t xml:space="preserve"> </w:t>
      </w:r>
      <w:r>
        <w:rPr>
          <w:rFonts w:hint="eastAsia"/>
        </w:rPr>
        <w:t xml:space="preserve">从样本看，818</w:t>
      </w:r>
      <w:r>
        <w:t xml:space="preserve"> </w:t>
      </w:r>
      <w:r>
        <w:rPr>
          <w:rFonts w:hint="eastAsia"/>
        </w:rPr>
        <w:t xml:space="preserve">条推荐覆盖</w:t>
      </w:r>
      <w:r>
        <w:t xml:space="preserve"> 327 </w:t>
      </w:r>
      <w:r>
        <w:rPr>
          <w:rFonts w:hint="eastAsia"/>
        </w:rPr>
        <w:t xml:space="preserve">只股票，但前三大行业已经吸收</w:t>
      </w:r>
      <w:r>
        <w:t xml:space="preserve"> 62.5% </w:t>
      </w:r>
      <w:r>
        <w:rPr>
          <w:rFonts w:hint="eastAsia"/>
        </w:rPr>
        <w:t xml:space="preserve">的推荐，Top10</w:t>
      </w:r>
      <w:r>
        <w:t xml:space="preserve"> </w:t>
      </w:r>
      <w:r>
        <w:rPr>
          <w:rFonts w:hint="eastAsia"/>
        </w:rPr>
        <w:t xml:space="preserve">抱团股吸收</w:t>
      </w:r>
      <w:r>
        <w:t xml:space="preserve"> 18.7% </w:t>
      </w:r>
      <w:r>
        <w:rPr>
          <w:rFonts w:hint="eastAsia"/>
        </w:rPr>
        <w:t xml:space="preserve">的推荐，说明投资者面对的不是分散的全市场建议，而是高度风格化的推荐清单。</w:t>
      </w:r>
    </w:p>
    <w:p>
      <w:pPr>
        <w:pStyle w:val="BodyText"/>
      </w:pPr>
      <w:r>
        <w:rPr>
          <w:rFonts w:hint="eastAsia"/>
          <w:b/>
          <w:bCs/>
        </w:rPr>
        <w:t xml:space="preserve">第二，主要影响对象是喜欢照单买金股的个人投资者。</w:t>
      </w:r>
      <w:r>
        <w:t xml:space="preserve"> </w:t>
      </w:r>
      <w:r>
        <w:rPr>
          <w:rFonts w:hint="eastAsia"/>
        </w:rPr>
        <w:t xml:space="preserve">如果投资者只看“券商推荐”四个字，很容易在同一个月买入多只科技成长股，实际风险暴露比自己以为的更集中。对小型机构而言，金股更适合作为行业热度和研究共识指标，而不是直接替代内部投研。</w:t>
      </w:r>
    </w:p>
    <w:p>
      <w:pPr>
        <w:pStyle w:val="BodyText"/>
      </w:pPr>
      <w:r>
        <w:rPr>
          <w:rFonts w:hint="eastAsia"/>
          <w:b/>
          <w:bCs/>
        </w:rPr>
        <w:t xml:space="preserve">第三，还有三个问题需要进一步分析。</w:t>
      </w:r>
      <w:r>
        <w:t xml:space="preserve"> </w:t>
      </w:r>
      <w:r>
        <w:rPr>
          <w:rFonts w:hint="eastAsia"/>
        </w:rPr>
        <w:t xml:space="preserve">一是更长周期里，科技牛市之外金股是否仍能跑赢创业板；二是扣除交易成本、滑点和真实买入延迟后收益会下降多少；三是券商推荐本身是否会影响股价，这需要更严格的事件研究和日度数据验证。下一节用现有月度数据先做两个加分项：回归和事件研究。</w:t>
      </w:r>
    </w:p>
    <w:bookmarkEnd w:id="53"/>
    <w:bookmarkStart w:id="59" w:name="加分项进一步分析"/>
    <w:p>
      <w:pPr>
        <w:pStyle w:val="Heading2"/>
      </w:pPr>
      <w:r>
        <w:t xml:space="preserve">10. </w:t>
      </w:r>
      <w:r>
        <w:rPr>
          <w:rFonts w:hint="eastAsia"/>
        </w:rPr>
        <w:t xml:space="preserve">加分项：进一步分析</w:t>
      </w:r>
    </w:p>
    <w:bookmarkStart w:id="57" w:name="回归分析收益来自券商层级还是来自成长风格"/>
    <w:p>
      <w:pPr>
        <w:pStyle w:val="Heading3"/>
      </w:pPr>
      <w:r>
        <w:t xml:space="preserve">10.1 </w:t>
      </w:r>
      <w:r>
        <w:rPr>
          <w:rFonts w:hint="eastAsia"/>
        </w:rPr>
        <w:t xml:space="preserve">回归分析：收益来自券商层级，还是来自成长风格？</w:t>
      </w:r>
    </w:p>
    <w:p>
      <w:pPr>
        <w:pStyle w:val="FirstParagraph"/>
      </w:pPr>
      <w:r>
        <w:rPr>
          <w:rFonts w:hint="eastAsia"/>
        </w:rPr>
        <w:t xml:space="preserve">为了避免只看分组均值，本报告构造了一个简单回归：被解释变量是每条推荐的“行业超额收益率”，解释变量包括头部券商、腰部券商、信息技术行业、抱团强度、成长指数，并加入月份虚拟变量控制市场月度波动。尾部券商是基准组，因此头部/腰部系数表示相对尾部的差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头部券商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腰部券商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信息技术行业</w:t>
            </w:r>
          </w:p>
        </w:tc>
        <w:tc>
          <w:tcPr/>
          <w:p>
            <w:pPr>
              <w:pStyle w:val="Compact"/>
            </w:pPr>
            <w:r>
              <w:t xml:space="preserve">-0.23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抱团强度ln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成长指数标准化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较强</w:t>
            </w:r>
          </w:p>
        </w:tc>
      </w:tr>
    </w:tbl>
    <w:p>
      <w:pPr>
        <w:pStyle w:val="CaptionedFigure"/>
      </w:pPr>
      <w:r>
        <w:drawing>
          <wp:inline>
            <wp:extent cx="5334000" cy="2054577"/>
            <wp:effectExtent b="0" l="0" r="0" t="0"/>
            <wp:docPr descr="加分项：回归与事件研究" title="" id="55" name="Picture"/>
            <a:graphic>
              <a:graphicData uri="http://schemas.openxmlformats.org/drawingml/2006/picture">
                <pic:pic>
                  <pic:nvPicPr>
                    <pic:cNvPr descr="outputs/report_figures/fig6_bonus_reg_even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加分项：回归与事件研究</w:t>
      </w:r>
    </w:p>
    <w:p>
      <w:pPr>
        <w:pStyle w:val="BodyText"/>
      </w:pPr>
      <w:r>
        <w:rPr>
          <w:rFonts w:hint="eastAsia"/>
        </w:rPr>
        <w:t xml:space="preserve">回归结果说明两点。第一，成长指数标准化后的系数为正，且</w:t>
      </w:r>
      <w:r>
        <w:t xml:space="preserve"> t </w:t>
      </w:r>
      <w:r>
        <w:rPr>
          <w:rFonts w:hint="eastAsia"/>
        </w:rPr>
        <w:t xml:space="preserve">值超过</w:t>
      </w:r>
      <w:r>
        <w:t xml:space="preserve"> </w:t>
      </w:r>
      <w:r>
        <w:rPr>
          <w:rFonts w:hint="eastAsia"/>
        </w:rPr>
        <w:t xml:space="preserve">2，说明在控制月份后，越偏成长的金股越容易取得行业超额收益；这与本轮科技成长行情一致。第二，抱团强度系数为正但只是边际显著，说明“被更多机构推荐”确实可能包含信息，但它不是稳健的安全垫；头部券商系数为正但不显著，意味着头部优势存在于描述统计中，但用月度样本控制风格后，统计显著性还不够强。</w:t>
      </w:r>
    </w:p>
    <w:p>
      <w:pPr>
        <w:pStyle w:val="BodyText"/>
      </w:pPr>
      <w:r>
        <w:rPr>
          <w:rFonts w:hint="eastAsia"/>
        </w:rPr>
        <w:t xml:space="preserve">这个回归的调整</w:t>
      </w:r>
      <w:r>
        <w:t xml:space="preserve"> R²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2.76%，也很重要：金股收益受市场情绪、产业催化、个股公告和估值变化影响很大，不能指望用券商层级、行业和风格几个变量完全解释。</w:t>
      </w:r>
    </w:p>
    <w:bookmarkEnd w:id="57"/>
    <w:bookmarkStart w:id="58" w:name="事件研究科技股拥挤推荐后次月表现如何"/>
    <w:p>
      <w:pPr>
        <w:pStyle w:val="Heading3"/>
      </w:pPr>
      <w:r>
        <w:t xml:space="preserve">10.2 </w:t>
      </w:r>
      <w:r>
        <w:rPr>
          <w:rFonts w:hint="eastAsia"/>
        </w:rPr>
        <w:t xml:space="preserve">事件研究：科技股拥挤推荐后，次月表现如何？</w:t>
      </w:r>
    </w:p>
    <w:p>
      <w:pPr>
        <w:pStyle w:val="FirstParagraph"/>
      </w:pPr>
      <w:r>
        <w:rPr>
          <w:rFonts w:hint="eastAsia"/>
        </w:rPr>
        <w:t xml:space="preserve">事件定义为：Top10</w:t>
      </w:r>
      <w:r>
        <w:t xml:space="preserve"> </w:t>
      </w:r>
      <w:r>
        <w:rPr>
          <w:rFonts w:hint="eastAsia"/>
        </w:rPr>
        <w:t xml:space="preserve">抱团科技股当月推荐次数达到</w:t>
      </w:r>
      <w:r>
        <w:t xml:space="preserve"> 10 </w:t>
      </w:r>
      <w:r>
        <w:rPr>
          <w:rFonts w:hint="eastAsia"/>
        </w:rPr>
        <w:t xml:space="preserve">次及以上，视为“拥挤月”；低于</w:t>
      </w:r>
      <w:r>
        <w:t xml:space="preserve"> 10 </w:t>
      </w:r>
      <w:r>
        <w:rPr>
          <w:rFonts w:hint="eastAsia"/>
        </w:rPr>
        <w:t xml:space="preserve">次视为“未拥挤月”。我们比较事件月当月收益和下月收益，观察集中推荐后是否存在短期回调风险。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当月平均收益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下月平均收益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Top10科技股拥挤月（推荐次数≥10）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+1.26%</w:t>
            </w:r>
          </w:p>
        </w:tc>
        <w:tc>
          <w:tcPr/>
          <w:p>
            <w:pPr>
              <w:pStyle w:val="Compact"/>
            </w:pPr>
            <w:r>
              <w:t xml:space="preserve">-0.80%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Top10科技股未拥挤月（推荐次数&lt;10）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+20.42%</w:t>
            </w:r>
          </w:p>
        </w:tc>
        <w:tc>
          <w:tcPr/>
          <w:p>
            <w:pPr>
              <w:pStyle w:val="Compact"/>
            </w:pPr>
            <w:r>
              <w:t xml:space="preserve">+24.72%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事件研究给出一个投资者很容易理解的信号：科技抱团股未拥挤时，当月和下月都保持较高弹性；一旦进入拥挤月，当月平均收益降至</w:t>
      </w:r>
      <w:r>
        <w:t xml:space="preserve"> </w:t>
      </w:r>
      <w:r>
        <w:rPr>
          <w:rFonts w:hint="eastAsia"/>
        </w:rPr>
        <w:t xml:space="preserve">+1.26%，下月平均收益变为</w:t>
      </w:r>
      <w:r>
        <w:t xml:space="preserve"> </w:t>
      </w:r>
      <w:r>
        <w:rPr>
          <w:rFonts w:hint="eastAsia"/>
        </w:rPr>
        <w:t xml:space="preserve">-0.80%。这不是严格因果证明，但可以作为风险预警规则：</w:t>
      </w:r>
      <w:r>
        <w:rPr>
          <w:rFonts w:hint="eastAsia"/>
          <w:b/>
          <w:bCs/>
        </w:rPr>
        <w:t xml:space="preserve">当同一批科技股已经被反复推荐到很高频时，投资者不宜继续追涨，而应优先检查估值、业绩兑现和仓位集中度。</w:t>
      </w:r>
    </w:p>
    <w:bookmarkEnd w:id="58"/>
    <w:bookmarkEnd w:id="59"/>
    <w:bookmarkStart w:id="63" w:name="对投资者的实际建议"/>
    <w:p>
      <w:pPr>
        <w:pStyle w:val="Heading2"/>
      </w:pPr>
      <w:r>
        <w:t xml:space="preserve">11. </w:t>
      </w:r>
      <w:r>
        <w:rPr>
          <w:rFonts w:hint="eastAsia"/>
        </w:rPr>
        <w:t xml:space="preserve">对投资者的实际建议</w:t>
      </w:r>
    </w:p>
    <w:bookmarkStart w:id="60" w:name="买入券商金股的好处"/>
    <w:p>
      <w:pPr>
        <w:pStyle w:val="Heading3"/>
      </w:pPr>
      <w:r>
        <w:t xml:space="preserve">11.1 </w:t>
      </w:r>
      <w:r>
        <w:rPr>
          <w:rFonts w:hint="eastAsia"/>
        </w:rPr>
        <w:t xml:space="preserve">买入券商金股的好处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节省研究时间。</w:t>
      </w:r>
      <w:r>
        <w:t xml:space="preserve"> </w:t>
      </w:r>
      <w:r>
        <w:rPr>
          <w:rFonts w:hint="eastAsia"/>
        </w:rPr>
        <w:t xml:space="preserve">金股可以作为每月重点行业和重点公司的观察清单。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捕捉机构共识。</w:t>
      </w:r>
      <w:r>
        <w:t xml:space="preserve"> </w:t>
      </w:r>
      <w:r>
        <w:rPr>
          <w:rFonts w:hint="eastAsia"/>
        </w:rPr>
        <w:t xml:space="preserve">多家券商共同推荐的股票，通常对应当期产业趋势和盈利预期变化。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在成长行情中提高弹性。</w:t>
      </w:r>
      <w:r>
        <w:t xml:space="preserve"> </w:t>
      </w:r>
      <w:r>
        <w:rPr>
          <w:rFonts w:hint="eastAsia"/>
        </w:rPr>
        <w:t xml:space="preserve">本研究期内，金股明显偏科技成长，因此在牛市阶段收益较高。</w:t>
      </w:r>
    </w:p>
    <w:bookmarkEnd w:id="60"/>
    <w:bookmarkStart w:id="61" w:name="买入券商金股的风险"/>
    <w:p>
      <w:pPr>
        <w:pStyle w:val="Heading3"/>
      </w:pPr>
      <w:r>
        <w:t xml:space="preserve">11.2 </w:t>
      </w:r>
      <w:r>
        <w:rPr>
          <w:rFonts w:hint="eastAsia"/>
        </w:rPr>
        <w:t xml:space="preserve">买入券商金股的风险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容易买成风格单押。</w:t>
      </w:r>
      <w:r>
        <w:t xml:space="preserve"> </w:t>
      </w:r>
      <w:r>
        <w:rPr>
          <w:rFonts w:hint="eastAsia"/>
        </w:rPr>
        <w:t xml:space="preserve">看似买了很多券商，实际可能都在买科技成长。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抱团股不适合追高。</w:t>
      </w:r>
      <w:r>
        <w:t xml:space="preserve"> </w:t>
      </w:r>
      <w:r>
        <w:rPr>
          <w:rFonts w:hint="eastAsia"/>
        </w:rPr>
        <w:t xml:space="preserve">推荐次数越多，说明共识越强，也可能说明预期越充分、交易越拥挤。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跑赢上证不等于跑赢真正机会成本。</w:t>
      </w:r>
      <w:r>
        <w:t xml:space="preserve"> </w:t>
      </w:r>
      <w:r>
        <w:rPr>
          <w:rFonts w:hint="eastAsia"/>
        </w:rPr>
        <w:t xml:space="preserve">如果投资者本来可以买创业板</w:t>
      </w:r>
      <w:r>
        <w:t xml:space="preserve"> </w:t>
      </w:r>
      <w:r>
        <w:rPr>
          <w:rFonts w:hint="eastAsia"/>
        </w:rPr>
        <w:t xml:space="preserve">ETF，那么多数券商金股组合并没有跑赢创业板指。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回测收益高于真实收益。</w:t>
      </w:r>
      <w:r>
        <w:t xml:space="preserve"> </w:t>
      </w:r>
      <w:r>
        <w:rPr>
          <w:rFonts w:hint="eastAsia"/>
        </w:rPr>
        <w:t xml:space="preserve">现实交易存在税费、滑点、买入时点和执行纪律，尤其热门股波动大，实际体验会差于表格收益。</w:t>
      </w:r>
    </w:p>
    <w:bookmarkEnd w:id="61"/>
    <w:bookmarkStart w:id="62" w:name="更稳妥的使用方式"/>
    <w:p>
      <w:pPr>
        <w:pStyle w:val="Heading3"/>
      </w:pPr>
      <w:r>
        <w:t xml:space="preserve">11.3 </w:t>
      </w:r>
      <w:r>
        <w:rPr>
          <w:rFonts w:hint="eastAsia"/>
        </w:rPr>
        <w:t xml:space="preserve">更稳妥的使用方式</w:t>
      </w:r>
    </w:p>
    <w:p>
      <w:pPr>
        <w:pStyle w:val="FirstParagraph"/>
      </w:pPr>
      <w:r>
        <w:rPr>
          <w:rFonts w:hint="eastAsia"/>
        </w:rPr>
        <w:t xml:space="preserve">投资者不宜把券商金股当成“买入指令”，更适合把它当成“研究线索”。建议采用三步法：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先看行业暴露。</w:t>
      </w:r>
      <w:r>
        <w:t xml:space="preserve"> </w:t>
      </w:r>
      <w:r>
        <w:rPr>
          <w:rFonts w:hint="eastAsia"/>
        </w:rPr>
        <w:t xml:space="preserve">如果你的持仓已经很多科技股，再买金股可能不是分散，而是加杠杆式集中。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再看拥挤程度。</w:t>
      </w:r>
      <w:r>
        <w:t xml:space="preserve"> </w:t>
      </w:r>
      <w:r>
        <w:rPr>
          <w:rFonts w:hint="eastAsia"/>
        </w:rPr>
        <w:t xml:space="preserve">同一只股票被多家券商连续推荐时，要检查估值和短期涨幅，避免在情绪最热时追入。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最后看替代基准。</w:t>
      </w:r>
      <w:r>
        <w:t xml:space="preserve"> </w:t>
      </w:r>
      <w:r>
        <w:rPr>
          <w:rFonts w:hint="eastAsia"/>
        </w:rPr>
        <w:t xml:space="preserve">如果你的目标是跑赢上证，金股可能有吸引力；如果目标是跑赢创业板或科技</w:t>
      </w:r>
      <w:r>
        <w:t xml:space="preserve"> </w:t>
      </w:r>
      <w:r>
        <w:rPr>
          <w:rFonts w:hint="eastAsia"/>
        </w:rPr>
        <w:t xml:space="preserve">ETF，就要更谨慎，只选择真正有个股逻辑的标的。</w:t>
      </w:r>
    </w:p>
    <w:bookmarkEnd w:id="62"/>
    <w:bookmarkEnd w:id="63"/>
    <w:bookmarkStart w:id="64" w:name="总结"/>
    <w:p>
      <w:pPr>
        <w:pStyle w:val="Heading2"/>
      </w:pPr>
      <w:r>
        <w:t xml:space="preserve">12.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本研究的核心回答是：券商金股既不是“指路明灯”，也不是简单的“韭菜指南”。在</w:t>
      </w:r>
      <w:r>
        <w:t xml:space="preserve"> 2025-05 </w:t>
      </w:r>
      <w:r>
        <w:rPr>
          <w:rFonts w:hint="eastAsia"/>
        </w:rPr>
        <w:t xml:space="preserve">至</w:t>
      </w:r>
      <w:r>
        <w:t xml:space="preserve"> 2026-04 </w:t>
      </w:r>
      <w:r>
        <w:rPr>
          <w:rFonts w:hint="eastAsia"/>
        </w:rPr>
        <w:t xml:space="preserve">的科技成长牛市里，六家券商金股整体跑赢上证，头部券商整体相对更强，抱团科技股也贡献了显著收益。但当我们把创业板指作为更严格基准后，只有华泰证券真正跑赢，说明很多收益来自市场风格，而不是纯粹来自券商选股。</w:t>
      </w:r>
    </w:p>
    <w:p>
      <w:pPr>
        <w:pStyle w:val="BodyText"/>
      </w:pPr>
      <w:r>
        <w:rPr>
          <w:rFonts w:hint="eastAsia"/>
        </w:rPr>
        <w:t xml:space="preserve">对投资者来说，最重要的不是问“要不要相信券商”，而是问“我到底买到了什么风险”。如果你买到的是科技成长、热门抱团和高估值预期，就应该用成长股的风险管理方式来对待它：控制仓位、避免追高、关注业绩兑现，并准备承受较大波动。</w:t>
      </w:r>
    </w:p>
    <w:bookmarkEnd w:id="64"/>
    <w:bookmarkStart w:id="65" w:name="局限性与风险提示"/>
    <w:p>
      <w:pPr>
        <w:pStyle w:val="Heading2"/>
      </w:pPr>
      <w:r>
        <w:t xml:space="preserve">13. </w:t>
      </w:r>
      <w:r>
        <w:rPr>
          <w:rFonts w:hint="eastAsia"/>
        </w:rPr>
        <w:t xml:space="preserve">局限性与风险提示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样本只有</w:t>
      </w:r>
      <w:r>
        <w:t xml:space="preserve"> 12 </w:t>
      </w:r>
      <w:r>
        <w:rPr>
          <w:rFonts w:hint="eastAsia"/>
        </w:rPr>
        <w:t xml:space="preserve">个月，且处在科技成长行情中，结论有明显市场阶段性。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行业指数采用近似映射，适合观察方向，不等同于严格行业归因模型。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抱团分析只能证明推荐集中和收益波动共存，不能证明券商推荐直接导致股价涨跌。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回测未考虑交易成本、税费、滑点、停牌、成交量约束和实际买入时间差。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风格指标基于静态财务数据，不能完全反映推荐当月的盈利预测修正。</w:t>
      </w:r>
    </w:p>
    <w:bookmarkEnd w:id="65"/>
    <w:bookmarkStart w:id="70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2"/>
        </w:numPr>
      </w:pPr>
      <w:hyperlink r:id="rId66">
        <w:r>
          <w:rPr>
            <w:rStyle w:val="Hyperlink"/>
            <w:rFonts w:hint="eastAsia"/>
          </w:rPr>
          <w:t xml:space="preserve">国务院：关于加强监管防范风险推动资本市场高质量发展的若干意见</w:t>
        </w:r>
      </w:hyperlink>
    </w:p>
    <w:p>
      <w:pPr>
        <w:pStyle w:val="Compact"/>
        <w:numPr>
          <w:ilvl w:val="0"/>
          <w:numId w:val="1012"/>
        </w:numPr>
      </w:pPr>
      <w:hyperlink r:id="rId67">
        <w:r>
          <w:rPr>
            <w:rStyle w:val="Hyperlink"/>
            <w:rFonts w:hint="eastAsia"/>
          </w:rPr>
          <w:t xml:space="preserve">中国证监会：关于修改《证券公司分类监管规定》的决定</w:t>
        </w:r>
      </w:hyperlink>
    </w:p>
    <w:p>
      <w:pPr>
        <w:pStyle w:val="Compact"/>
        <w:numPr>
          <w:ilvl w:val="0"/>
          <w:numId w:val="1012"/>
        </w:numPr>
      </w:pPr>
      <w:hyperlink r:id="rId68">
        <w:r>
          <w:rPr>
            <w:rStyle w:val="Hyperlink"/>
            <w:rFonts w:hint="eastAsia"/>
          </w:rPr>
          <w:t xml:space="preserve">中国证监会：2020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年证券公司分类结果</w:t>
        </w:r>
      </w:hyperlink>
    </w:p>
    <w:p>
      <w:pPr>
        <w:pStyle w:val="Compact"/>
        <w:numPr>
          <w:ilvl w:val="0"/>
          <w:numId w:val="1012"/>
        </w:numPr>
      </w:pPr>
      <w:hyperlink r:id="rId69">
        <w:r>
          <w:rPr>
            <w:rStyle w:val="Hyperlink"/>
            <w:rFonts w:hint="eastAsia"/>
          </w:rPr>
          <w:t xml:space="preserve">天风证券向特定对象发行</w:t>
        </w:r>
        <w:r>
          <w:rPr>
            <w:rStyle w:val="Hyperlink"/>
          </w:rPr>
          <w:t xml:space="preserve"> A </w:t>
        </w:r>
        <w:r>
          <w:rPr>
            <w:rStyle w:val="Hyperlink"/>
            <w:rFonts w:hint="eastAsia"/>
          </w:rPr>
          <w:t xml:space="preserve">股股票募集说明书，含</w:t>
        </w:r>
        <w:r>
          <w:rPr>
            <w:rStyle w:val="Hyperlink"/>
          </w:rPr>
          <w:t xml:space="preserve"> 2024 </w:t>
        </w:r>
        <w:r>
          <w:rPr>
            <w:rStyle w:val="Hyperlink"/>
            <w:rFonts w:hint="eastAsia"/>
          </w:rPr>
          <w:t xml:space="preserve">年行业经营指标对比</w:t>
        </w:r>
      </w:hyperlink>
    </w:p>
    <w:bookmarkEnd w:id="70"/>
    <w:bookmarkStart w:id="71" w:name="附复现方式"/>
    <w:p>
      <w:pPr>
        <w:pStyle w:val="Heading2"/>
      </w:pPr>
      <w:r>
        <w:rPr>
          <w:rFonts w:hint="eastAsia"/>
        </w:rPr>
        <w:t xml:space="preserve">附：复现方式</w:t>
      </w:r>
    </w:p>
    <w:p>
      <w:pPr>
        <w:pStyle w:val="FirstParagraph"/>
      </w:pPr>
      <w:r>
        <w:rPr>
          <w:rFonts w:hint="eastAsia"/>
        </w:rPr>
        <w:t xml:space="preserve">在本目录运行以下命令可重新生成报告、图表和导出文件：</w:t>
      </w:r>
    </w:p>
    <w:p>
      <w:pPr>
        <w:pStyle w:val="SourceCode"/>
      </w:pPr>
      <w:r>
        <w:rPr>
          <w:rStyle w:val="VerbatimChar"/>
        </w:rPr>
        <w:t xml:space="preserve">/Users/wenrt/Anaconda3/anaconda3/bin/python scripts/build_report.py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18" Target="media/rId18.png" /><Relationship Type="http://schemas.openxmlformats.org/officeDocument/2006/relationships/hyperlink" Id="rId69" Target="https://static.cninfo.com.cn/finalpage/2025-06-07/1223804036.PDF" TargetMode="External" /><Relationship Type="http://schemas.openxmlformats.org/officeDocument/2006/relationships/hyperlink" Id="rId68" Target="https://www.csrc.gov.cn/csrc/c100028/c1000712/content.shtml" TargetMode="External" /><Relationship Type="http://schemas.openxmlformats.org/officeDocument/2006/relationships/hyperlink" Id="rId67" Target="https://www.csrc.gov.cn/xiamen/c105635/c7585630/content.shtml" TargetMode="External" /><Relationship Type="http://schemas.openxmlformats.org/officeDocument/2006/relationships/hyperlink" Id="rId66" Target="https://www.gov.cn/zhengce/content/202404/content_6944877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static.cninfo.com.cn/finalpage/2025-06-07/1223804036.PDF" TargetMode="External" /><Relationship Type="http://schemas.openxmlformats.org/officeDocument/2006/relationships/hyperlink" Id="rId68" Target="https://www.csrc.gov.cn/csrc/c100028/c1000712/content.shtml" TargetMode="External" /><Relationship Type="http://schemas.openxmlformats.org/officeDocument/2006/relationships/hyperlink" Id="rId67" Target="https://www.csrc.gov.cn/xiamen/c105635/c7585630/content.shtml" TargetMode="External" /><Relationship Type="http://schemas.openxmlformats.org/officeDocument/2006/relationships/hyperlink" Id="rId66" Target="https://www.gov.cn/zhengce/content/202404/content_6944877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2026-05-22T13:47:10Z</dcterms:created>
  <dcterms:modified xsi:type="dcterms:W3CDTF">2026-05-22T13:47:10Z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