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增值税申报指南</w:t>
      </w:r>
    </w:p>
    <w:p>
      <w:pPr>
        <w:pStyle w:val="Heading2"/>
      </w:pPr>
      <w:r>
        <w:t>一般纳税人</w:t>
      </w:r>
    </w:p>
    <w:p>
      <w:r>
        <w:t>一般纳税人销售自产货物并提供安装服务的，应分别核算货物的销售额和安装服务的销售额。</w:t>
      </w:r>
    </w:p>
    <w:p>
      <w:r>
        <w:t>一般纳税人发生应税销售行为，应当向索取增值税专用发票的购买方开具专用发票。</w:t>
      </w:r>
    </w:p>
    <w:p>
      <w:pPr>
        <w:pStyle w:val="Heading2"/>
      </w:pPr>
      <w:r>
        <w:t>小规模纳税人</w:t>
      </w:r>
    </w:p>
    <w:p>
      <w:r>
        <w:t>小规模纳税人发生应税销售行为，适用简易计税方法计税。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税种</w:t>
            </w:r>
          </w:p>
        </w:tc>
        <w:tc>
          <w:tcPr>
            <w:tcW w:type="dxa" w:w="2880"/>
          </w:tcPr>
          <w:p>
            <w:r>
              <w:t>税率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增值税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标准税率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