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个单元测试、79 项集成断言组（含 720 次并发争抢实验——实验样本内未出现超卖、30 次进程中断恢复全部正确、五组跨规则组合验证、凭据生命周期与约束感知建议评估）、52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79 项（T01–T78 与 CLI 检查，含 720 次并发争抢、30 次故障注入恢复、五组跨规则组合验证、凭据生命周期与约束感知建议评估）、52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63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T01–T78 另加 CLI 数据库检查，以测试运行器 record() 调用数为准），以独立 Python 客户端驱动真实服务进程，覆盖功能、安全、并发、故障恢复、运营能力与跨规则组合语义；（3）契约测试（52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44，在浸泡窗口内未观察到工作集与句柄的持续增长趋势；另将浸泡窗口延长至 300 秒（16,170 请求、0 错误、0 5xx），工作集在预热期峰值 6.7MB 后回落并全程稳定在 0.2MB、句柄净增 54，长窗口同样未观察到持续增长；上述结果支持“无持续泄漏迹象”的判断，不构成对任意时长运行下无泄漏的证明。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系统（v1.16.0，schema v5、17 张数据表、52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63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