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系统通过五层自动化验证：24 个单元测试、75 项集成断言组（含 720 次并发争抢实验——实验样本内未出现超卖、30 次进程中断恢复全部正确、五组跨规则组合验证、凭据生命周期与约束感知建议评估）、49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24 unit tests, 70 integration assertion groups (including a 720-request concurrent-contention experiment with no overbooking observed across all trials, 30 crash-recovery trials all correct, and five cross-rule combination checks), contract tests over 48 endpoints, gray-box/documentation tests, fuzz and soak stability experiments, and a three-channel continuous integration gate (build and test,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24 个、集成断言组 75 项（T01–T74 与 CLI 检查，含 720 次并发争抢、30 次故障注入恢复、五组跨规则组合验证、凭据生命周期与约束感知建议评估）、49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（2）可执行候补策略与老化加权：突破传统 FIFO 的队首阻塞，递补事务按（优先级降序，编号升序）扫描并暂跳暂时不可执行的候选、保留其序号，配合限时保留（HELD）与优先级抢占/信用补偿闭环；进一步把操作系统调度的老化思想迁移为加权评分档（优先级 1000/信用 200/等待对数 60 的量纲设计），并以 Jain 公平指数与 SQL 口径等待时长构成三策略×四档负载的量化评估——对照实验显示严格 FIFO 在队首冲突时空置率为 100%，可执行与加权档均能满额递补，且加权档把名额交给高信用短等待者使平均等待时长减半；</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w:t>
      </w:r>
    </w:p>
    <w:p>
      <w:pPr>
        <w:ind w:left="420"/>
      </w:pPr>
      <w:r>
        <w:rPr>
          <w:rFonts w:ascii="宋体" w:hAnsi="宋体" w:eastAsia="宋体"/>
          <w:b w:val="0"/>
          <w:sz w:val="24"/>
        </w:rPr>
        <w:t>BR19 候补递补三档策略：默认可执行 FIFO——按（优先级降序,编号升序）扫描队列，停用者跳过、临时时间冲突者暂跳并保留原序号，只递补第一个当前可执行的候选；strict 回退为队首阻塞语义；weighted（老化加权）按 score = 1000×优先级 + 200×(信用−5) + 60×log₂(1+等待小时数) 降序扫描——等待每翻倍 +60 分、同档 1 点信用差约需 8 小时等待追平、管理员不被老化越级，冲突暂跳语义与前两档一致；</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的取消原因四分为 USER（主动取消）、NO_SHOW（爽约）、REJECTED（审批拒绝）、PREEMPTED（被高优先级抢占）。候补状态机包含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6.8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候补策略：三档可插拔——默认可执行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可回退为队首阻塞语义；weighted 档把操作系统调度的老化（aging）思想迁移到候补队列——score = 1000×优先级 + 200×(信用−5) + 60×log₂(1+等待小时数)，等待时长按对数加速补偿以消除同档饿死，同时信用与角色优先级的量纲设计（1 点信用 ≈ 8 小时等待、管理员 1000 分不被越级）保证激励结构不被老化侵蚀。三档策略共用同一套可执行性扫描，实测对照见 6.7 节。限时保留：--hold-window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24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60 个路由分支（其中 24 个带路径参数），另有 Prometheus 抓取端点 /metrics 为独立处理器；契约测试覆盖其中 48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admin.js），以十一个页签组织实验室管理（含预约审批开关）、场次发布、场次管理（开始前调整时间与容量）、全员记录（动作与用户双维筛选，含 PENDING 待审批）、用户管理（前缀搜索、分页、停用/启用、重置密码一次性展示、信用发放、近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24 个，不经 HTTP 直接链接业务层与数据层；（2）集成实验 70 项断言组（编号 T01–T74 另加 CLI 数据库检查，以测试运行器 record() 调用数为准），以独立 Python 客户端驱动真实服务进程，覆盖功能、安全、并发、故障恢复、运营能力与跨规则组合语义；（3）契约测试（49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持续集成设有三条并行门禁通道：构建与单元/集成测试、静态分析门禁（-fanalyzer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89.94</w:t>
            </w:r>
          </w:p>
        </w:tc>
        <w:tc>
          <w:tcPr>
            <w:tcW w:type="dxa" w:w="982"/>
          </w:tcPr>
          <w:p>
            <w:r/>
            <w:r>
              <w:rPr>
                <w:sz w:val="21"/>
              </w:rPr>
              <w:t>84.62</w:t>
            </w:r>
          </w:p>
        </w:tc>
        <w:tc>
          <w:tcPr>
            <w:tcW w:type="dxa" w:w="982"/>
          </w:tcPr>
          <w:p>
            <w:r/>
            <w:r>
              <w:rPr>
                <w:sz w:val="21"/>
              </w:rPr>
              <w:t>82.56</w:t>
            </w:r>
          </w:p>
        </w:tc>
        <w:tc>
          <w:tcPr>
            <w:tcW w:type="dxa" w:w="982"/>
          </w:tcPr>
          <w:p>
            <w:r/>
            <w:r>
              <w:rPr>
                <w:sz w:val="21"/>
              </w:rPr>
              <w:t>95.24</w:t>
            </w:r>
          </w:p>
        </w:tc>
        <w:tc>
          <w:tcPr>
            <w:tcW w:type="dxa" w:w="982"/>
          </w:tcPr>
          <w:p>
            <w:r/>
            <w:r>
              <w:rPr>
                <w:sz w:val="21"/>
              </w:rPr>
              <w:t>86.76</w:t>
            </w:r>
          </w:p>
        </w:tc>
        <w:tc>
          <w:tcPr>
            <w:tcW w:type="dxa" w:w="982"/>
          </w:tcPr>
          <w:p>
            <w:r/>
            <w:r>
              <w:rPr>
                <w:sz w:val="21"/>
              </w:rPr>
              <w:t>81.48</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70 项断言组（T01–T69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T74 差分属性测试：weighted 递补与参考模型（评分公式+可执行扫描）在 12 组随机场景（随机等待时长/信用/跨场冲突/停用者/管理员混入）下逐场一致——策略实现的性质级验证；</w:t>
      </w:r>
    </w:p>
    <w:p>
      <w:pPr>
        <w:ind w:left="420"/>
      </w:pPr>
      <w:r>
        <w:rPr>
          <w:rFonts w:ascii="宋体" w:hAnsi="宋体" w:eastAsia="宋体"/>
          <w:b w:val="0"/>
          <w:sz w:val="24"/>
        </w:rPr>
        <w:t>T70–T73 策略与治理：weighted 老化（同档久等者反超 id 序、信用压制、管理员不越级）、转正概率（经验分布与手算一致、样本不足 null）、公平性审计（与 SQL 对账、Jain 手算一致、越权 403）、每日候补上限（409 与日界重置）；</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5.7</w:t>
            </w:r>
          </w:p>
        </w:tc>
        <w:tc>
          <w:tcPr>
            <w:tcW w:type="dxa" w:w="1263"/>
          </w:tcPr>
          <w:p>
            <w:r/>
            <w:r>
              <w:rPr>
                <w:sz w:val="21"/>
              </w:rPr>
              <w:t>9.9</w:t>
            </w:r>
          </w:p>
        </w:tc>
      </w:tr>
      <w:tr>
        <w:tc>
          <w:tcPr>
            <w:tcW w:type="dxa" w:w="1263"/>
          </w:tcPr>
          <w:p>
            <w:r/>
            <w:r>
              <w:rPr>
                <w:sz w:val="21"/>
              </w:rPr>
              <w:t>5</w:t>
            </w:r>
          </w:p>
        </w:tc>
        <w:tc>
          <w:tcPr>
            <w:tcW w:type="dxa" w:w="1263"/>
          </w:tcPr>
          <w:p>
            <w:r/>
            <w:r>
              <w:rPr>
                <w:sz w:val="21"/>
              </w:rPr>
              <w:t>100</w:t>
            </w:r>
          </w:p>
        </w:tc>
        <w:tc>
          <w:tcPr>
            <w:tcW w:type="dxa" w:w="1263"/>
          </w:tcPr>
          <w:p>
            <w:r/>
            <w:r>
              <w:rPr>
                <w:sz w:val="21"/>
              </w:rPr>
              <w:t>100</w:t>
            </w:r>
          </w:p>
        </w:tc>
        <w:tc>
          <w:tcPr>
            <w:tcW w:type="dxa" w:w="1263"/>
          </w:tcPr>
          <w:p>
            <w:r/>
            <w:r>
              <w:rPr>
                <w:sz w:val="21"/>
              </w:rPr>
              <w:t>0</w:t>
            </w:r>
          </w:p>
        </w:tc>
        <w:tc>
          <w:tcPr>
            <w:tcW w:type="dxa" w:w="1263"/>
          </w:tcPr>
          <w:p>
            <w:r/>
            <w:r>
              <w:rPr>
                <w:sz w:val="21"/>
              </w:rPr>
              <w:t>0</w:t>
            </w:r>
          </w:p>
        </w:tc>
        <w:tc>
          <w:tcPr>
            <w:tcW w:type="dxa" w:w="1263"/>
          </w:tcPr>
          <w:p>
            <w:r/>
            <w:r>
              <w:rPr>
                <w:sz w:val="21"/>
              </w:rPr>
              <w:t>6.9</w:t>
            </w:r>
          </w:p>
        </w:tc>
        <w:tc>
          <w:tcPr>
            <w:tcW w:type="dxa" w:w="1263"/>
          </w:tcPr>
          <w:p>
            <w:r/>
            <w:r>
              <w:rPr>
                <w:sz w:val="21"/>
              </w:rPr>
              <w:t>32.4</w:t>
            </w:r>
          </w:p>
        </w:tc>
      </w:tr>
      <w:tr>
        <w:tc>
          <w:tcPr>
            <w:tcW w:type="dxa" w:w="1263"/>
          </w:tcPr>
          <w:p>
            <w:r/>
            <w:r>
              <w:rPr>
                <w:sz w:val="21"/>
              </w:rPr>
              <w:t>10</w:t>
            </w:r>
          </w:p>
        </w:tc>
        <w:tc>
          <w:tcPr>
            <w:tcW w:type="dxa" w:w="1263"/>
          </w:tcPr>
          <w:p>
            <w:r/>
            <w:r>
              <w:rPr>
                <w:sz w:val="21"/>
              </w:rPr>
              <w:t>200</w:t>
            </w:r>
          </w:p>
        </w:tc>
        <w:tc>
          <w:tcPr>
            <w:tcW w:type="dxa" w:w="1263"/>
          </w:tcPr>
          <w:p>
            <w:r/>
            <w:r>
              <w:rPr>
                <w:sz w:val="21"/>
              </w:rPr>
              <w:t>200</w:t>
            </w:r>
          </w:p>
        </w:tc>
        <w:tc>
          <w:tcPr>
            <w:tcW w:type="dxa" w:w="1263"/>
          </w:tcPr>
          <w:p>
            <w:r/>
            <w:r>
              <w:rPr>
                <w:sz w:val="21"/>
              </w:rPr>
              <w:t>0</w:t>
            </w:r>
          </w:p>
        </w:tc>
        <w:tc>
          <w:tcPr>
            <w:tcW w:type="dxa" w:w="1263"/>
          </w:tcPr>
          <w:p>
            <w:r/>
            <w:r>
              <w:rPr>
                <w:sz w:val="21"/>
              </w:rPr>
              <w:t>0</w:t>
            </w:r>
          </w:p>
        </w:tc>
        <w:tc>
          <w:tcPr>
            <w:tcW w:type="dxa" w:w="1263"/>
          </w:tcPr>
          <w:p>
            <w:r/>
            <w:r>
              <w:rPr>
                <w:sz w:val="21"/>
              </w:rPr>
              <w:t>9.4</w:t>
            </w:r>
          </w:p>
        </w:tc>
        <w:tc>
          <w:tcPr>
            <w:tcW w:type="dxa" w:w="1263"/>
          </w:tcPr>
          <w:p>
            <w:r/>
            <w:r>
              <w:rPr>
                <w:sz w:val="21"/>
              </w:rPr>
              <w:t>99.4</w:t>
            </w:r>
          </w:p>
        </w:tc>
      </w:tr>
      <w:tr>
        <w:tc>
          <w:tcPr>
            <w:tcW w:type="dxa" w:w="1263"/>
          </w:tcPr>
          <w:p>
            <w:r/>
            <w:r>
              <w:rPr>
                <w:sz w:val="21"/>
              </w:rPr>
              <w:t>20</w:t>
            </w:r>
          </w:p>
        </w:tc>
        <w:tc>
          <w:tcPr>
            <w:tcW w:type="dxa" w:w="1263"/>
          </w:tcPr>
          <w:p>
            <w:r/>
            <w:r>
              <w:rPr>
                <w:sz w:val="21"/>
              </w:rPr>
              <w:t>400</w:t>
            </w:r>
          </w:p>
        </w:tc>
        <w:tc>
          <w:tcPr>
            <w:tcW w:type="dxa" w:w="1263"/>
          </w:tcPr>
          <w:p>
            <w:r/>
            <w:r>
              <w:rPr>
                <w:sz w:val="21"/>
              </w:rPr>
              <w:t>400</w:t>
            </w:r>
          </w:p>
        </w:tc>
        <w:tc>
          <w:tcPr>
            <w:tcW w:type="dxa" w:w="1263"/>
          </w:tcPr>
          <w:p>
            <w:r/>
            <w:r>
              <w:rPr>
                <w:sz w:val="21"/>
              </w:rPr>
              <w:t>0</w:t>
            </w:r>
          </w:p>
        </w:tc>
        <w:tc>
          <w:tcPr>
            <w:tcW w:type="dxa" w:w="1263"/>
          </w:tcPr>
          <w:p>
            <w:r/>
            <w:r>
              <w:rPr>
                <w:sz w:val="21"/>
              </w:rPr>
              <w:t>0</w:t>
            </w:r>
          </w:p>
        </w:tc>
        <w:tc>
          <w:tcPr>
            <w:tcW w:type="dxa" w:w="1263"/>
          </w:tcPr>
          <w:p>
            <w:r/>
            <w:r>
              <w:rPr>
                <w:sz w:val="21"/>
              </w:rPr>
              <w:t>13.6</w:t>
            </w:r>
          </w:p>
        </w:tc>
        <w:tc>
          <w:tcPr>
            <w:tcW w:type="dxa" w:w="1263"/>
          </w:tcPr>
          <w:p>
            <w:r/>
            <w:r>
              <w:rPr>
                <w:sz w:val="21"/>
              </w:rPr>
              <w:t>210.8</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ind w:firstLine="480"/>
      </w:pPr>
      <w:r>
        <w:rPr>
          <w:rFonts w:ascii="宋体" w:hAnsi="宋体" w:eastAsia="宋体"/>
          <w:b w:val="0"/>
          <w:sz w:val="24"/>
        </w:rPr>
        <w:t>在端点层面另做一次 N+1 查询消除：约束感知建议端点最初对 7 天窗口内每场次分别执行排位与概率查询（每请求约数百条 SQL），改为按（场次×优先级）分组计数与按星期分桶的历史释放两条预取查询后，在 104 场次、40 场满员带候补的负载下吞吐由 118 提升至 179 次/秒（+51%），且行为等价性由建议与概率的既有断言（T69/T71）逐值验证。</w:t>
      </w:r>
    </w:p>
    <w:p>
      <w:pPr>
        <w:pStyle w:val="Heading2"/>
      </w:pPr>
      <w:r>
        <w:t>6.7 候补策略与冲突检测算法对比实验</w:t>
      </w:r>
    </w:p>
    <w:p>
      <w:pPr>
        <w:ind w:firstLine="480"/>
      </w:pPr>
      <w:r>
        <w:rPr>
          <w:rFonts w:ascii="宋体" w:hAnsi="宋体" w:eastAsia="宋体"/>
          <w:b w:val="0"/>
          <w:sz w:val="24"/>
        </w:rPr>
        <w:t>候补策略对比：以三档策略 × 四档负载（ρ = 预约请求数 / 总容量 = 0.7、1.0、1.3、1.6，过载递增）的真实服务矩阵实验评估递补效果（每格确定性场景：12 场次×容量 3、随机负载用户、结构化候补三角色——队首带跨场冲突者、低信用次早者、高信用第三者；释放由确定性取消触发）。结果见表 6-4：严格 FIFO 在队首冲突时空置全部释放名额（转正 0）；可执行与加权档均能完成递补，且二者把名额交给不同人——可执行档按入队序给出（等待约 7,200 秒），加权档按评分给出（等待约 3,600 秒，平均等待时长减半，归属高信用短等待者）。Jain 公平指数三档一致（0.73～0.82），表明单名额归属的差异在用户总量层面不放大不公平。</w:t>
      </w:r>
    </w:p>
    <w:p>
      <w:pPr>
        <w:jc w:val="center"/>
      </w:pPr>
      <w:r>
        <w:rPr>
          <w:b/>
          <w:sz w:val="21"/>
        </w:rPr>
        <w:t>表 6-4 三策略×四档负载矩阵（节选；完整数据 docs/evidence/experiment/strategy_matrix.md）</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策略</w:t>
            </w:r>
          </w:p>
        </w:tc>
        <w:tc>
          <w:tcPr>
            <w:tcW w:type="dxa" w:w="1263"/>
          </w:tcPr>
          <w:p>
            <w:r/>
            <w:r>
              <w:rPr>
                <w:b/>
                <w:sz w:val="21"/>
              </w:rPr>
              <w:t>ρ</w:t>
            </w:r>
          </w:p>
        </w:tc>
        <w:tc>
          <w:tcPr>
            <w:tcW w:type="dxa" w:w="1263"/>
          </w:tcPr>
          <w:p>
            <w:r/>
            <w:r>
              <w:rPr>
                <w:b/>
                <w:sz w:val="21"/>
              </w:rPr>
              <w:t>释放</w:t>
            </w:r>
          </w:p>
        </w:tc>
        <w:tc>
          <w:tcPr>
            <w:tcW w:type="dxa" w:w="1263"/>
          </w:tcPr>
          <w:p>
            <w:r/>
            <w:r>
              <w:rPr>
                <w:b/>
                <w:sz w:val="21"/>
              </w:rPr>
              <w:t>入队</w:t>
            </w:r>
          </w:p>
        </w:tc>
        <w:tc>
          <w:tcPr>
            <w:tcW w:type="dxa" w:w="1263"/>
          </w:tcPr>
          <w:p>
            <w:r/>
            <w:r>
              <w:rPr>
                <w:b/>
                <w:sz w:val="21"/>
              </w:rPr>
              <w:t>转正</w:t>
            </w:r>
          </w:p>
        </w:tc>
        <w:tc>
          <w:tcPr>
            <w:tcW w:type="dxa" w:w="1263"/>
          </w:tcPr>
          <w:p>
            <w:r/>
            <w:r>
              <w:rPr>
                <w:b/>
                <w:sz w:val="21"/>
              </w:rPr>
              <w:t>平均等待(s)</w:t>
            </w:r>
          </w:p>
        </w:tc>
        <w:tc>
          <w:tcPr>
            <w:tcW w:type="dxa" w:w="1263"/>
          </w:tcPr>
          <w:p>
            <w:r/>
            <w:r>
              <w:rPr>
                <w:b/>
                <w:sz w:val="21"/>
              </w:rPr>
              <w:t>Jain</w:t>
            </w:r>
          </w:p>
        </w:tc>
      </w:tr>
      <w:tr>
        <w:tc>
          <w:tcPr>
            <w:tcW w:type="dxa" w:w="1263"/>
          </w:tcPr>
          <w:p>
            <w:r/>
            <w:r>
              <w:rPr>
                <w:sz w:val="21"/>
              </w:rPr>
              <w:t>strict</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0</w:t>
            </w:r>
          </w:p>
        </w:tc>
        <w:tc>
          <w:tcPr>
            <w:tcW w:type="dxa" w:w="1263"/>
          </w:tcPr>
          <w:p>
            <w:r/>
            <w:r>
              <w:rPr>
                <w:sz w:val="21"/>
              </w:rPr>
              <w:t>—</w:t>
            </w:r>
          </w:p>
        </w:tc>
        <w:tc>
          <w:tcPr>
            <w:tcW w:type="dxa" w:w="1263"/>
          </w:tcPr>
          <w:p>
            <w:r/>
            <w:r>
              <w:rPr>
                <w:sz w:val="21"/>
              </w:rPr>
              <w:t>0.74~0.82</w:t>
            </w:r>
          </w:p>
        </w:tc>
      </w:tr>
      <w:tr>
        <w:tc>
          <w:tcPr>
            <w:tcW w:type="dxa" w:w="1263"/>
          </w:tcPr>
          <w:p>
            <w:r/>
            <w:r>
              <w:rPr>
                <w:sz w:val="21"/>
              </w:rPr>
              <w:t>executable</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7204~7209</w:t>
            </w:r>
          </w:p>
        </w:tc>
        <w:tc>
          <w:tcPr>
            <w:tcW w:type="dxa" w:w="1263"/>
          </w:tcPr>
          <w:p>
            <w:r/>
            <w:r>
              <w:rPr>
                <w:sz w:val="21"/>
              </w:rPr>
              <w:t>0.73~0.79</w:t>
            </w:r>
          </w:p>
        </w:tc>
      </w:tr>
      <w:tr>
        <w:tc>
          <w:tcPr>
            <w:tcW w:type="dxa" w:w="1263"/>
          </w:tcPr>
          <w:p>
            <w:r/>
            <w:r>
              <w:rPr>
                <w:sz w:val="21"/>
              </w:rPr>
              <w:t>weighted</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3603~3608</w:t>
            </w:r>
          </w:p>
        </w:tc>
        <w:tc>
          <w:tcPr>
            <w:tcW w:type="dxa" w:w="1263"/>
          </w:tcPr>
          <w:p>
            <w:r/>
            <w:r>
              <w:rPr>
                <w:sz w:val="21"/>
              </w:rPr>
              <w:t>0.73~0.79</w:t>
            </w:r>
          </w:p>
        </w:tc>
      </w:tr>
    </w:tbl>
    <w:p>
      <w:pPr>
        <w:jc w:val="center"/>
      </w:pPr>
      <w:r>
        <w:drawing>
          <wp:inline xmlns:a="http://schemas.openxmlformats.org/drawingml/2006/main" xmlns:pic="http://schemas.openxmlformats.org/drawingml/2006/picture">
            <wp:extent cx="5040000" cy="1924364"/>
            <wp:docPr id="10" name="Picture 10"/>
            <wp:cNvGraphicFramePr>
              <a:graphicFrameLocks noChangeAspect="1"/>
            </wp:cNvGraphicFramePr>
            <a:graphic>
              <a:graphicData uri="http://schemas.openxmlformats.org/drawingml/2006/picture">
                <pic:pic>
                  <pic:nvPicPr>
                    <pic:cNvPr id="0" name="fig6-1-strategies.png"/>
                    <pic:cNvPicPr/>
                  </pic:nvPicPr>
                  <pic:blipFill>
                    <a:blip r:embed="rId19"/>
                    <a:stretch>
                      <a:fillRect/>
                    </a:stretch>
                  </pic:blipFill>
                  <pic:spPr>
                    <a:xfrm>
                      <a:off x="0" y="0"/>
                      <a:ext cx="5040000" cy="1924364"/>
                    </a:xfrm>
                    <a:prstGeom prst="rect"/>
                  </pic:spPr>
                </pic:pic>
              </a:graphicData>
            </a:graphic>
          </wp:inline>
        </w:drawing>
      </w:r>
    </w:p>
    <w:p>
      <w:pPr>
        <w:jc w:val="center"/>
      </w:pPr>
      <w:r>
        <w:rPr>
          <w:b/>
          <w:sz w:val="21"/>
        </w:rPr>
        <w:t>图 6-1 三策略×四档负载的候补递补对比（左：平均等待时长；右：Jain 公平指数）</w:t>
      </w:r>
    </w:p>
    <w:p>
      <w:pPr>
        <w:ind w:firstLine="480"/>
      </w:pPr>
      <w:r>
        <w:rPr>
          <w:rFonts w:ascii="宋体" w:hAnsi="宋体" w:eastAsia="宋体"/>
          <w:b w:val="0"/>
          <w:sz w:val="24"/>
        </w:rPr>
        <w:t>冲突检测算法对比：以纯算法模拟（Python 口径）对比朴素区间线扫 O(n) 与一天 48 片时间片位图按位与 O(1)——随机生成 n 条既有预约、各执行一万次目标查询：命中场景（朴素提前返回）两者相当（1.2～1.4 倍）；未命中最坏场景（朴素全扫）差距随 n 线性放大，n=100/1,000/10,000 时分别为 14/153/1,846 倍，实测语义零偏差。该实验用于论证复杂度阶差异（O(n)→O(1)）与可选优化方向；生产路径仍采用 SQLite 索引化区间查询，因其事务内一致性与现有负载下的充分性能余量（见 6.6 节）。证据见 docs/evidence/bitmap/。</w:t>
      </w:r>
    </w:p>
    <w:p>
      <w:pPr>
        <w:pStyle w:val="Heading2"/>
      </w:pPr>
      <w:r>
        <w:t>6.8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4 线程对登录、预约、候补、改密接口持续发送畸形 JSON、超长字段、错类型、二进制垃圾与并发错乱序列共 240 次：全部请求得到合法封套响应（4xx 为主），进程存活，SQLite 完整性检查通过。浸泡实验以混合负载运行 60 秒冒烟（34,970 请求、0 错误、0 5xx），进程工作集增长 3 MB、句柄增长 44，在浸泡窗口内未观察到工作集与句柄的持续增长趋势；该结果支持“无持续泄漏迹象”的判断，不构成对任意时长运行下无泄漏的证明。</w:t>
      </w:r>
    </w:p>
    <w:p>
      <w:pPr>
        <w:pStyle w:val="Heading2"/>
      </w:pPr>
      <w:r>
        <w:t>6.9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left="420"/>
      </w:pPr>
      <w:r>
        <w:rPr>
          <w:rFonts w:ascii="宋体" w:hAnsi="宋体" w:eastAsia="宋体"/>
          <w:b w:val="0"/>
          <w:sz w:val="24"/>
        </w:rPr>
        <w:t>（8）策略开关下的静默退化（v1.15.0）：weighted 递补分支读取数据库行时沿用了字符串取值辅助函数解析数字列，该函数仅对文本列有效——优先级、信用与等待时长三个评分项全部取默认值，策略在运行时退化为基础序而测试仍通过（断言恰好与退化行为兼容）。教训：新增执行路径的测试必须构造与既有默认行为可区分的断言；数字列一律显式按数值类型读取。</w:t>
      </w:r>
    </w:p>
    <w:p>
      <w:pPr>
        <w:ind w:left="420"/>
      </w:pPr>
      <w:r>
        <w:rPr>
          <w:rFonts w:ascii="宋体" w:hAnsi="宋体" w:eastAsia="宋体"/>
          <w:b w:val="0"/>
          <w:sz w:val="24"/>
        </w:rPr>
        <w:t>（9）SQL 绑定格式串与占位符数量错位（两例）：聚合查询 6 个占位符配 7 个格式字符、排位查询 6 个占位符配 5 个——前者多读一个变参（读到相邻栈内存），后者末个占位符绑定失败，均表现为接口 500 或间歇性空结果。与第（1）例的宽度错位合并构成同一类纪律：格式串必须与占位符逐一对齐并纳入评审检查。</w:t>
      </w:r>
    </w:p>
    <w:p>
      <w:pPr>
        <w:ind w:left="420"/>
      </w:pPr>
      <w:r>
        <w:rPr>
          <w:rFonts w:ascii="宋体" w:hAnsi="宋体" w:eastAsia="宋体"/>
          <w:b w:val="0"/>
          <w:sz w:val="24"/>
        </w:rPr>
        <w:t>（10）整型实参经变参按 8 字节读取（未定义行为）：转正概率的星期参数以 32 位整型传入，而绑定辅助层按 64 位整型读取变参——高 32 位为调用现场残留，绑定的星期值随机错误，历史统计查询间歇性返回空集。该缺陷在两轮全量回归中偶现后被最小复现定位，修复为调用处显式宽化。这是项目第 11 例参数传递缺陷，也是“未定义行为不等于立刻崩溃”的真实样本。</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6.10 浏览器端到端验收</w:t>
      </w:r>
    </w:p>
    <w:p>
      <w:pPr>
        <w:ind w:firstLine="480"/>
      </w:pPr>
      <w:r>
        <w:rPr>
          <w:rFonts w:ascii="宋体" w:hAnsi="宋体" w:eastAsia="宋体"/>
          <w:b w:val="0"/>
          <w:sz w:val="24"/>
        </w:rPr>
        <w:t>以真实 Chromium 浏览器完成多轮端到端验收：走通登录（含管理员入口）、查询、预约、候补、取消补位（两段式确认）、签到（含倒计时与状态机）、预约审批（PENDING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下载、容量显示与替代时段改约（改期面板）、指标面板，以及管理控制台全部十一个页签（场次调整、用户停用与受限标记、通知发布与送达、运行日志筛选等）。截图存证于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系统（v1.14.0，schema v5、17 张数据表、48 个契约端点、75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三通道持续集成门禁；从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60 个路由分支，契约测试覆盖 49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