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系统通过五层自动化验证：25 个单元测试、79 项集成断言组（含 720 次并发争抢实验——实验样本内未出现超卖、30 次进程中断恢复全部正确、五组跨规则组合验证、凭据生命周期与约束感知建议评估）、56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25 unit tests, 79 integration assertion groups (including a 720-request concurrent-contention experiment with no overbooking observed across all trials, 30 crash-recovery trials all correct, five cross-rule combination checks, differential property tests and admin operation assertions), contract tests over 56 endpoints, gray-box/documentation tests, fuzz and soak stability experiments, and a four-channel continuous integration gate (build and test, contract/documentation consistency,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25 个、集成断言组 79 项（T01–T78 与 CLI 检查，含 720 次并发争抢、30 次故障注入恢复、五组跨规则组合验证、凭据生命周期与约束感知建议评估）、56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工单开/关时自动通知该资源全部未来有效声明的持有者（按场次逐条站内通知，响应附受影响计数）；</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的取消原因五分为 USER（主动取消）、NO_SHOW（爽约）、REJECTED（审批拒绝）、PREEMPTED（被高优先级抢占）与 ADMIN（管理员强制取消）。候补状态机包含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25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67 个路由分支（其中 26 个带路径参数），另有 Prometheus 抓取端点 /metrics 为独立处理器；契约测试覆盖其中 56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admin.js），以十二个页签组织实验室管理（含预约审批开关）、场次发布、场次管理（开始前调整时间与容量）、全员记录（动作与用户双维筛选，含 PENDING 待审批，支持批量审批——部分成功语义，容量满条目入 failed[]）、用户管理（前缀搜索、分页、停用/启用、重置密码一次性展示、信用发放、近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全员记录表内置管理员强制操作——「强制取消」（ADMIN 原因+递补+通知）与「代签退」（保实机时口径）。控制台概览如图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天历史归档与演示数据生成器（固定随机种子，可复现地生成过去若干天的场次、预约、签到与爽约历史，并内置结构性容量保护保证重复执行不破坏不变量）。v1.17.0 为运营侧进一步提供三个聚合端点：/api/admin/dashboard 一次调用返回今日统计、待审批数、候补热点与七日趋势（替代前端串行五次请求）；/api/admin/slots/conflicts 检测同日跨实验室场次的时间重叠（排课避撞）；/api/admin/credit-summary 汇总信用分布五档与受限用户名单。用户侧同步新增个人通知历史 CSV 导出（/api/me/notifications/export，带 BOM 的 Excel 兼容格式，上限 500 条）。</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25 个，不经 HTTP 直接链接业务层与数据层；（2）集成实验 79 项断言组（编号 T01–T78 另加 CLI 数据库检查，以测试运行器 record() 调用数为准），以独立 Python 客户端驱动真实服务进程，覆盖功能、安全、并发、故障恢复、运营能力与跨规则组合语义；（3）契约测试（56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持续集成设有四条并行门禁通道：构建与单元/集成测试、静态分析门禁（-fanalyzer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79 项断言组（T01–T78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T75 建议 queue_ahead 数值等价断言：预取计算值与精确口径在四场景下逐值对拍——r30 预取优化的正确性证明；</w:t>
      </w:r>
    </w:p>
    <w:p>
      <w:pPr>
        <w:ind w:left="420"/>
      </w:pPr>
      <w:r>
        <w:rPr>
          <w:rFonts w:ascii="宋体" w:hAnsi="宋体" w:eastAsia="宋体"/>
          <w:b w:val="0"/>
          <w:sz w:val="24"/>
        </w:rPr>
        <w:t>T76 批量审批部分成功语义：容量满条目入 failed[]（含 APPROVAL_CAPACITY 码）不影响其余条目，整体一个事务；</w:t>
      </w:r>
    </w:p>
    <w:p>
      <w:pPr>
        <w:ind w:left="420"/>
      </w:pPr>
      <w:r>
        <w:rPr>
          <w:rFonts w:ascii="宋体" w:hAnsi="宋体" w:eastAsia="宋体"/>
          <w:b w:val="0"/>
          <w:sz w:val="24"/>
        </w:rPr>
        <w:t>T77 维护影响通知：开/关工单时受影响声明持有者逐场收到站内通知、响应附 affected 计数、过去场次不计入；</w:t>
      </w:r>
    </w:p>
    <w:p>
      <w:pPr>
        <w:ind w:left="420"/>
      </w:pPr>
      <w:r>
        <w:rPr>
          <w:rFonts w:ascii="宋体" w:hAnsi="宋体" w:eastAsia="宋体"/>
          <w:b w:val="0"/>
          <w:sz w:val="24"/>
        </w:rPr>
        <w:t>T78 管理员强制操作：force-cancel（ADMIN 原因+FIFO 递补+通知）、force-complete（代签退+幂等）、已签到不可直接取消；</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129.3</w:t>
            </w:r>
          </w:p>
        </w:tc>
        <w:tc>
          <w:tcPr>
            <w:tcW w:type="dxa" w:w="1263"/>
          </w:tcPr>
          <w:p>
            <w:r/>
            <w:r>
              <w:rPr>
                <w:sz w:val="21"/>
              </w:rPr>
              <w:t>129.3</w:t>
            </w:r>
          </w:p>
        </w:tc>
      </w:tr>
      <w:tr>
        <w:tc>
          <w:tcPr>
            <w:tcW w:type="dxa" w:w="1263"/>
          </w:tcPr>
          <w:p>
            <w:r/>
            <w:r>
              <w:rPr>
                <w:sz w:val="21"/>
              </w:rPr>
              <w:t>5</w:t>
            </w:r>
          </w:p>
        </w:tc>
        <w:tc>
          <w:tcPr>
            <w:tcW w:type="dxa" w:w="1263"/>
          </w:tcPr>
          <w:p>
            <w:r/>
            <w:r>
              <w:rPr>
                <w:sz w:val="21"/>
              </w:rPr>
              <w:t>100</w:t>
            </w:r>
          </w:p>
        </w:tc>
        <w:tc>
          <w:tcPr>
            <w:tcW w:type="dxa" w:w="1263"/>
          </w:tcPr>
          <w:p>
            <w:r/>
            <w:r>
              <w:rPr>
                <w:sz w:val="21"/>
              </w:rPr>
              <w:t>20</w:t>
            </w:r>
          </w:p>
        </w:tc>
        <w:tc>
          <w:tcPr>
            <w:tcW w:type="dxa" w:w="1263"/>
          </w:tcPr>
          <w:p>
            <w:r/>
            <w:r>
              <w:rPr>
                <w:sz w:val="21"/>
              </w:rPr>
              <w:t>80</w:t>
            </w:r>
          </w:p>
        </w:tc>
        <w:tc>
          <w:tcPr>
            <w:tcW w:type="dxa" w:w="1263"/>
          </w:tcPr>
          <w:p>
            <w:r/>
            <w:r>
              <w:rPr>
                <w:sz w:val="21"/>
              </w:rPr>
              <w:t>0</w:t>
            </w:r>
          </w:p>
        </w:tc>
        <w:tc>
          <w:tcPr>
            <w:tcW w:type="dxa" w:w="1263"/>
          </w:tcPr>
          <w:p>
            <w:r/>
            <w:r>
              <w:rPr>
                <w:sz w:val="21"/>
              </w:rPr>
              <w:t>76.9</w:t>
            </w:r>
          </w:p>
        </w:tc>
        <w:tc>
          <w:tcPr>
            <w:tcW w:type="dxa" w:w="1263"/>
          </w:tcPr>
          <w:p>
            <w:r/>
            <w:r>
              <w:rPr>
                <w:sz w:val="21"/>
              </w:rPr>
              <w:t>177.6</w:t>
            </w:r>
          </w:p>
        </w:tc>
      </w:tr>
      <w:tr>
        <w:tc>
          <w:tcPr>
            <w:tcW w:type="dxa" w:w="1263"/>
          </w:tcPr>
          <w:p>
            <w:r/>
            <w:r>
              <w:rPr>
                <w:sz w:val="21"/>
              </w:rPr>
              <w:t>10</w:t>
            </w:r>
          </w:p>
        </w:tc>
        <w:tc>
          <w:tcPr>
            <w:tcW w:type="dxa" w:w="1263"/>
          </w:tcPr>
          <w:p>
            <w:r/>
            <w:r>
              <w:rPr>
                <w:sz w:val="21"/>
              </w:rPr>
              <w:t>200</w:t>
            </w:r>
          </w:p>
        </w:tc>
        <w:tc>
          <w:tcPr>
            <w:tcW w:type="dxa" w:w="1263"/>
          </w:tcPr>
          <w:p>
            <w:r/>
            <w:r>
              <w:rPr>
                <w:sz w:val="21"/>
              </w:rPr>
              <w:t>20</w:t>
            </w:r>
          </w:p>
        </w:tc>
        <w:tc>
          <w:tcPr>
            <w:tcW w:type="dxa" w:w="1263"/>
          </w:tcPr>
          <w:p>
            <w:r/>
            <w:r>
              <w:rPr>
                <w:sz w:val="21"/>
              </w:rPr>
              <w:t>180</w:t>
            </w:r>
          </w:p>
        </w:tc>
        <w:tc>
          <w:tcPr>
            <w:tcW w:type="dxa" w:w="1263"/>
          </w:tcPr>
          <w:p>
            <w:r/>
            <w:r>
              <w:rPr>
                <w:sz w:val="21"/>
              </w:rPr>
              <w:t>0</w:t>
            </w:r>
          </w:p>
        </w:tc>
        <w:tc>
          <w:tcPr>
            <w:tcW w:type="dxa" w:w="1263"/>
          </w:tcPr>
          <w:p>
            <w:r/>
            <w:r>
              <w:rPr>
                <w:sz w:val="21"/>
              </w:rPr>
              <w:t>97.3</w:t>
            </w:r>
          </w:p>
        </w:tc>
        <w:tc>
          <w:tcPr>
            <w:tcW w:type="dxa" w:w="1263"/>
          </w:tcPr>
          <w:p>
            <w:r/>
            <w:r>
              <w:rPr>
                <w:sz w:val="21"/>
              </w:rPr>
              <w:t>280.2</w:t>
            </w:r>
          </w:p>
        </w:tc>
      </w:tr>
      <w:tr>
        <w:tc>
          <w:tcPr>
            <w:tcW w:type="dxa" w:w="1263"/>
          </w:tcPr>
          <w:p>
            <w:r/>
            <w:r>
              <w:rPr>
                <w:sz w:val="21"/>
              </w:rPr>
              <w:t>20</w:t>
            </w:r>
          </w:p>
        </w:tc>
        <w:tc>
          <w:tcPr>
            <w:tcW w:type="dxa" w:w="1263"/>
          </w:tcPr>
          <w:p>
            <w:r/>
            <w:r>
              <w:rPr>
                <w:sz w:val="21"/>
              </w:rPr>
              <w:t>400</w:t>
            </w:r>
          </w:p>
        </w:tc>
        <w:tc>
          <w:tcPr>
            <w:tcW w:type="dxa" w:w="1263"/>
          </w:tcPr>
          <w:p>
            <w:r/>
            <w:r>
              <w:rPr>
                <w:sz w:val="21"/>
              </w:rPr>
              <w:t>20</w:t>
            </w:r>
          </w:p>
        </w:tc>
        <w:tc>
          <w:tcPr>
            <w:tcW w:type="dxa" w:w="1263"/>
          </w:tcPr>
          <w:p>
            <w:r/>
            <w:r>
              <w:rPr>
                <w:sz w:val="21"/>
              </w:rPr>
              <w:t>380</w:t>
            </w:r>
          </w:p>
        </w:tc>
        <w:tc>
          <w:tcPr>
            <w:tcW w:type="dxa" w:w="1263"/>
          </w:tcPr>
          <w:p>
            <w:r/>
            <w:r>
              <w:rPr>
                <w:sz w:val="21"/>
              </w:rPr>
              <w:t>0</w:t>
            </w:r>
          </w:p>
        </w:tc>
        <w:tc>
          <w:tcPr>
            <w:tcW w:type="dxa" w:w="1263"/>
          </w:tcPr>
          <w:p>
            <w:r/>
            <w:r>
              <w:rPr>
                <w:sz w:val="21"/>
              </w:rPr>
              <w:t>114.8</w:t>
            </w:r>
          </w:p>
        </w:tc>
        <w:tc>
          <w:tcPr>
            <w:tcW w:type="dxa" w:w="1263"/>
          </w:tcPr>
          <w:p>
            <w:r/>
            <w:r>
              <w:rPr>
                <w:sz w:val="21"/>
              </w:rPr>
              <w:t>273.7</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次/秒（+51%），且行为等价性由建议与概率的既有断言（T69/T71）逐值验证。公平审计端点同样消除了 N+1 查询（每用户 7 个相关子查询改为 6 条 GROUP BY 预聚合）。</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6 线程对登录、预约、候补、改密接口持续发送畸形 JSON、超长字段、错类型、二进制垃圾与并发错乱序列共 720 次：719 次请求得到合法封套响应（4xx 拒绝），另 1 次为建立会话的有效登录（2xx），全程零 5xx，进程存活，SQLite 完整性检查通过。浸泡实验以混合负载运行 60 秒冒烟（15,351 请求、0 错误、0 5xx），另将浸泡窗口延长至 300 秒（15,541 请求、0 错误、0 5xx，两窗口合计 30,892 请求），工作集自 8.1MB 增至 10.9MB（+2.8MB，预热期峰值 72MB 后回落）、句柄净增 38，长窗口同样未观察到持续增长趋势；上述结果支持“无持续泄漏迹象”的判断，不构成对任意时长运行下无泄漏的证明。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浏览器完成八用例端到端验收（含 case8 管理端强制取消按钮 UI→DB 全链）：走通登录（含管理员入口）、查询、预约、候补、取消补位（两段式确认）、签到（含倒计时与状态机）、预约审批（PENDING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二个页签（场次调整、待审批专页、批量审批、强制操作按钮、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系统（v1.17.0，schema v5、17 张数据表、56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四通道持续集成门禁；从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67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管理</w:t>
            </w:r>
          </w:p>
        </w:tc>
        <w:tc>
          <w:tcPr>
            <w:tcW w:type="dxa" w:w="2946"/>
          </w:tcPr>
          <w:p>
            <w:r/>
            <w:r>
              <w:rPr>
                <w:sz w:val="21"/>
              </w:rPr>
              <w:t>GET /api/admin/dashboard|slots/conflicts|credit-summary</w:t>
            </w:r>
          </w:p>
        </w:tc>
        <w:tc>
          <w:tcPr>
            <w:tcW w:type="dxa" w:w="2946"/>
          </w:tcPr>
          <w:p>
            <w:r/>
            <w:r>
              <w:rPr>
                <w:sz w:val="21"/>
              </w:rPr>
              <w:t>聚合概览、跨实验室场次冲突检测与信用健康概览（v1.17.0）</w:t>
            </w:r>
          </w:p>
        </w:tc>
      </w:tr>
      <w:tr>
        <w:tc>
          <w:tcPr>
            <w:tcW w:type="dxa" w:w="2946"/>
          </w:tcPr>
          <w:p>
            <w:r/>
            <w:r>
              <w:rPr>
                <w:sz w:val="21"/>
              </w:rPr>
              <w:t>通知</w:t>
            </w:r>
          </w:p>
        </w:tc>
        <w:tc>
          <w:tcPr>
            <w:tcW w:type="dxa" w:w="2946"/>
          </w:tcPr>
          <w:p>
            <w:r/>
            <w:r>
              <w:rPr>
                <w:sz w:val="21"/>
              </w:rPr>
              <w:t>GET /api/me/notifications/export</w:t>
            </w:r>
          </w:p>
        </w:tc>
        <w:tc>
          <w:tcPr>
            <w:tcW w:type="dxa" w:w="2946"/>
          </w:tcPr>
          <w:p>
            <w:r/>
            <w:r>
              <w:rPr>
                <w:sz w:val="21"/>
              </w:rPr>
              <w:t>个人通知历史 CSV 导出（带 BOM，Excel 兼容）</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