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个单元测试、76 项集成断言组（含 720 次并发争抢实验——实验样本内未出现超卖、30 次进程中断恢复全部正确、五组跨规则组合验证、凭据生命周期与约束感知建议评估）、49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76 项（T01–T75 与 CLI 检查，含 720 次并发争抢、30 次故障注入恢复、五组跨规则组合验证、凭据生命周期与约束感知建议评估）、49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60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T01–T75 另加 CLI 数据库检查，以测试运行器 record() 调用数为准），以独立 Python 客户端驱动真实服务进程，覆盖功能、安全、并发、故障恢复、运营能力与跨规则组合语义；（3）契约测试（49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44，在浸泡窗口内未观察到工作集与句柄的持续增长趋势；该结果支持“无持续泄漏迹象”的判断，不构成对任意时长运行下无泄漏的证明。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系统（v1.14.0，schema v5、17 张数据表、48 个契约端点、76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60 个路由分支，契约测试覆盖 49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