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595959"/>
          <w:sz w:val="20"/>
        </w:rPr>
        <w:t>FINAL PROJECT REPORT</w:t>
      </w:r>
    </w:p>
    <w:p>
      <w:pPr>
        <w:spacing w:after="80"/>
      </w:pPr>
      <w:r>
        <w:rPr>
          <w:rFonts w:ascii="Calibri" w:hAnsi="Calibri"/>
          <w:b/>
          <w:color w:val="1F4D78"/>
          <w:sz w:val="44"/>
        </w:rPr>
        <w:t>SmartFlow: Adaptive Traffic Signal Control with Reinforcement Learning</w:t>
      </w:r>
    </w:p>
    <w:p>
      <w:pPr>
        <w:spacing w:after="240"/>
      </w:pPr>
      <w:r>
        <w:rPr>
          <w:rFonts w:ascii="Calibri" w:hAnsi="Calibri"/>
          <w:color w:val="595959"/>
          <w:sz w:val="22"/>
        </w:rPr>
        <w:t>Preserving the single-intersection presentation experiment and extending it with a coordinated corridor experiment</w:t>
      </w:r>
    </w:p>
    <w:tbl>
      <w:tblPr>
        <w:tblW w:type="auto" w:w="0"/>
        <w:tblLayout w:type="fixed"/>
        <w:tblLook w:firstColumn="1" w:firstRow="1" w:lastColumn="0" w:lastRow="0" w:noHBand="0" w:noVBand="1" w:val="04A0"/>
        <w:tblBorders>
          <w:top w:val="single" w:sz="6" w:space="0" w:color="C9D3DF"/>
          <w:left w:val="single" w:sz="6" w:space="0" w:color="C9D3DF"/>
          <w:bottom w:val="single" w:sz="6" w:space="0" w:color="C9D3DF"/>
          <w:right w:val="single" w:sz="6" w:space="0" w:color="C9D3DF"/>
          <w:insideH w:val="single" w:sz="6" w:space="0" w:color="C9D3DF"/>
          <w:insideV w:val="single" w:sz="6" w:space="0" w:color="C9D3DF"/>
        </w:tblBorders>
      </w:tblPr>
      <w:tblGrid>
        <w:gridCol w:w="3264"/>
        <w:gridCol w:w="3264"/>
        <w:gridCol w:w="3264"/>
      </w:tblGrid>
      <w:tr>
        <w:tc>
          <w:tcPr>
            <w:tcW w:type="dxa" w:w="2951"/>
            <w:shd w:fill="F2F4F7"/>
            <w:vAlign w:val="center"/>
          </w:tcPr>
          <w:p>
            <w:pPr>
              <w:spacing w:after="0" w:line="252" w:lineRule="auto"/>
              <w:jc w:val="center"/>
            </w:pPr>
            <w:r/>
            <w:r>
              <w:rPr>
                <w:rFonts w:ascii="Calibri" w:hAnsi="Calibri"/>
                <w:b/>
                <w:color w:val="1F4D78"/>
                <w:sz w:val="17"/>
              </w:rPr>
              <w:t>Course Project</w:t>
            </w:r>
          </w:p>
        </w:tc>
        <w:tc>
          <w:tcPr>
            <w:tcW w:type="dxa" w:w="2951"/>
            <w:shd w:fill="F2F4F7"/>
            <w:vAlign w:val="center"/>
          </w:tcPr>
          <w:p>
            <w:pPr>
              <w:spacing w:after="0" w:line="252" w:lineRule="auto"/>
              <w:jc w:val="center"/>
            </w:pPr>
            <w:r/>
            <w:r>
              <w:rPr>
                <w:rFonts w:ascii="Calibri" w:hAnsi="Calibri"/>
                <w:b/>
                <w:color w:val="1F4D78"/>
                <w:sz w:val="17"/>
              </w:rPr>
              <w:t>Group 19</w:t>
            </w:r>
          </w:p>
        </w:tc>
        <w:tc>
          <w:tcPr>
            <w:tcW w:type="dxa" w:w="2951"/>
            <w:shd w:fill="F2F4F7"/>
            <w:vAlign w:val="center"/>
          </w:tcPr>
          <w:p>
            <w:pPr>
              <w:spacing w:after="0" w:line="252" w:lineRule="auto"/>
              <w:jc w:val="center"/>
            </w:pPr>
            <w:r/>
            <w:r>
              <w:rPr>
                <w:rFonts w:ascii="Calibri" w:hAnsi="Calibri"/>
                <w:b/>
                <w:color w:val="1F4D78"/>
                <w:sz w:val="17"/>
              </w:rPr>
              <w:t>Final Deliverable</w:t>
            </w:r>
          </w:p>
        </w:tc>
      </w:tr>
      <w:tr>
        <w:tc>
          <w:tcPr>
            <w:tcW w:type="dxa" w:w="2951"/>
            <w:vAlign w:val="center"/>
          </w:tcPr>
          <w:p>
            <w:pPr>
              <w:spacing w:after="0" w:line="252" w:lineRule="auto"/>
              <w:jc w:val="center"/>
            </w:pPr>
            <w:r/>
            <w:r>
              <w:rPr>
                <w:rFonts w:ascii="Calibri" w:hAnsi="Calibri"/>
                <w:b w:val="0"/>
                <w:sz w:val="17"/>
              </w:rPr>
              <w:t>Main Body</w:t>
            </w:r>
          </w:p>
        </w:tc>
        <w:tc>
          <w:tcPr>
            <w:tcW w:type="dxa" w:w="2951"/>
            <w:vAlign w:val="center"/>
          </w:tcPr>
          <w:p>
            <w:pPr>
              <w:spacing w:after="0" w:line="252" w:lineRule="auto"/>
              <w:jc w:val="center"/>
            </w:pPr>
            <w:r/>
            <w:r>
              <w:rPr>
                <w:rFonts w:ascii="Calibri" w:hAnsi="Calibri"/>
                <w:b w:val="0"/>
                <w:sz w:val="17"/>
              </w:rPr>
              <w:t>3 pages</w:t>
            </w:r>
          </w:p>
        </w:tc>
        <w:tc>
          <w:tcPr>
            <w:tcW w:type="dxa" w:w="2951"/>
            <w:vAlign w:val="center"/>
          </w:tcPr>
          <w:p>
            <w:pPr>
              <w:spacing w:after="0" w:line="252" w:lineRule="auto"/>
              <w:jc w:val="center"/>
            </w:pPr>
            <w:r/>
            <w:r>
              <w:rPr>
                <w:rFonts w:ascii="Calibri" w:hAnsi="Calibri"/>
                <w:b w:val="0"/>
                <w:sz w:val="17"/>
              </w:rPr>
              <w:t>References + Appendix after page 3</w:t>
            </w:r>
          </w:p>
        </w:tc>
      </w:tr>
    </w:tbl>
    <w:p>
      <w:pPr>
        <w:spacing w:after="80"/>
      </w:pPr>
    </w:p>
    <w:p>
      <w:pPr>
        <w:pStyle w:val="Heading1"/>
      </w:pPr>
      <w:r>
        <w:t>1. Motivation and Original MDP Formulation</w:t>
      </w:r>
    </w:p>
    <w:p>
      <w:pPr>
        <w:spacing w:after="120" w:line="264" w:lineRule="auto"/>
      </w:pPr>
      <w:r>
        <w:rPr>
          <w:rFonts w:ascii="Calibri" w:hAnsi="Calibri"/>
          <w:sz w:val="20"/>
        </w:rPr>
        <w:t>Urban congestion is a sequential decision-making problem under stochastic arrivals. Traditional fixed-cycle traffic signals cannot respond to changing queues, while reinforcement learning (RL) can learn policies that trade immediate queue clearance against future congestion. This report preserves the original Group 19 single-intersection experiment and adds a coordinated two-intersection extension to test when RL becomes more valuable than simple heuristics.</w:t>
      </w:r>
    </w:p>
    <w:p>
      <w:pPr>
        <w:spacing w:after="120" w:line="264" w:lineRule="auto"/>
      </w:pPr>
      <w:r>
        <w:rPr>
          <w:rFonts w:ascii="Calibri" w:hAnsi="Calibri"/>
          <w:sz w:val="20"/>
        </w:rPr>
        <w:t>The original presentation models one signalized intersection as a Markov Decision Process with state S = (Q_NS, Q_EW, Phase). Queue lengths are discretized into Low (0-3), Medium (4-8), and High (9+) buckets. The action set is {Stay, Switch}. The reward is R = -(Q_NS + Q_EW) - C, where C is a small switching penalty that discourages unsafe high-frequency oscillation.</w:t>
      </w:r>
    </w:p>
    <w:tbl>
      <w:tblPr>
        <w:tblW w:type="auto" w:w="0"/>
        <w:tblLayout w:type="fixed"/>
        <w:tblLook w:firstColumn="1" w:firstRow="1" w:lastColumn="0" w:lastRow="0" w:noHBand="0" w:noVBand="1" w:val="04A0"/>
        <w:tblBorders>
          <w:top w:val="single" w:sz="6" w:space="0" w:color="C9D3DF"/>
          <w:left w:val="single" w:sz="6" w:space="0" w:color="C9D3DF"/>
          <w:bottom w:val="single" w:sz="6" w:space="0" w:color="C9D3DF"/>
          <w:right w:val="single" w:sz="6" w:space="0" w:color="C9D3DF"/>
          <w:insideH w:val="single" w:sz="6" w:space="0" w:color="C9D3DF"/>
          <w:insideV w:val="single" w:sz="6" w:space="0" w:color="C9D3DF"/>
        </w:tblBorders>
      </w:tblPr>
      <w:tblGrid>
        <w:gridCol w:w="9792"/>
      </w:tblGrid>
      <w:tr>
        <w:tc>
          <w:tcPr>
            <w:tcW w:type="dxa" w:w="9000"/>
            <w:shd w:fill="F7FAFC"/>
          </w:tcPr>
          <w:p>
            <w:pPr>
              <w:spacing w:after="0"/>
            </w:pPr>
            <w:r/>
            <w:r>
              <w:rPr>
                <w:b/>
                <w:color w:val="1F4D78"/>
                <w:sz w:val="19"/>
              </w:rPr>
              <w:t xml:space="preserve">Algorithms compared: </w:t>
            </w:r>
            <w:r>
              <w:rPr>
                <w:sz w:val="19"/>
              </w:rPr>
              <w:t>Q-Learning, SARSA, Monte Carlo, static fixed-cycle control, greedy longest-queue control, and a Value Iteration optimal reference.</w:t>
            </w:r>
          </w:p>
        </w:tc>
      </w:tr>
    </w:tbl>
    <w:p>
      <w:pPr>
        <w:spacing w:after="40"/>
      </w:pPr>
    </w:p>
    <w:p>
      <w:pPr>
        <w:jc w:val="center"/>
      </w:pPr>
      <w:r>
        <w:drawing>
          <wp:inline xmlns:a="http://schemas.openxmlformats.org/drawingml/2006/main" xmlns:pic="http://schemas.openxmlformats.org/drawingml/2006/picture">
            <wp:extent cx="5212080" cy="2750820"/>
            <wp:docPr id="1" name="Picture 1"/>
            <wp:cNvGraphicFramePr>
              <a:graphicFrameLocks noChangeAspect="1"/>
            </wp:cNvGraphicFramePr>
            <a:graphic>
              <a:graphicData uri="http://schemas.openxmlformats.org/drawingml/2006/picture">
                <pic:pic>
                  <pic:nvPicPr>
                    <pic:cNvPr id="0" name="part1_reward_comparison.png"/>
                    <pic:cNvPicPr/>
                  </pic:nvPicPr>
                  <pic:blipFill>
                    <a:blip r:embed="rId11"/>
                    <a:stretch>
                      <a:fillRect/>
                    </a:stretch>
                  </pic:blipFill>
                  <pic:spPr>
                    <a:xfrm>
                      <a:off x="0" y="0"/>
                      <a:ext cx="5212080" cy="2750820"/>
                    </a:xfrm>
                    <a:prstGeom prst="rect"/>
                  </pic:spPr>
                </pic:pic>
              </a:graphicData>
            </a:graphic>
          </wp:inline>
        </w:drawing>
      </w:r>
    </w:p>
    <w:p>
      <w:pPr>
        <w:spacing w:before="40" w:after="160"/>
        <w:jc w:val="center"/>
      </w:pPr>
      <w:r>
        <w:rPr>
          <w:rFonts w:ascii="Calibri" w:hAnsi="Calibri"/>
          <w:i/>
          <w:color w:val="595959"/>
          <w:sz w:val="17"/>
        </w:rPr>
        <w:t>Figure 1. Slide-exact average reward comparison for the single-intersection experiment.</w:t>
      </w:r>
    </w:p>
    <w:p>
      <w:r>
        <w:br w:type="page"/>
      </w:r>
    </w:p>
    <w:p>
      <w:pPr>
        <w:pStyle w:val="Heading1"/>
      </w:pPr>
      <w:r>
        <w:t>2. Preserved Part I Results</w:t>
      </w:r>
    </w:p>
    <w:p>
      <w:pPr>
        <w:spacing w:after="120" w:line="264" w:lineRule="auto"/>
      </w:pPr>
      <w:r>
        <w:rPr>
          <w:rFonts w:ascii="Calibri" w:hAnsi="Calibri"/>
          <w:sz w:val="20"/>
        </w:rPr>
        <w:t>The Part I values below are preserved exactly from the presentation's Experiment Results slide. Higher reward is better because the reward function penalizes waiting queues.</w:t>
      </w:r>
    </w:p>
    <w:tbl>
      <w:tblPr>
        <w:tblW w:type="auto" w:w="0"/>
        <w:tblLayout w:type="fixed"/>
        <w:tblLook w:firstColumn="1" w:firstRow="1" w:lastColumn="0" w:lastRow="0" w:noHBand="0" w:noVBand="1" w:val="04A0"/>
        <w:tblBorders>
          <w:top w:val="single" w:sz="6" w:space="0" w:color="C9D3DF"/>
          <w:left w:val="single" w:sz="6" w:space="0" w:color="C9D3DF"/>
          <w:bottom w:val="single" w:sz="6" w:space="0" w:color="C9D3DF"/>
          <w:right w:val="single" w:sz="6" w:space="0" w:color="C9D3DF"/>
          <w:insideH w:val="single" w:sz="6" w:space="0" w:color="C9D3DF"/>
          <w:insideV w:val="single" w:sz="6" w:space="0" w:color="C9D3DF"/>
        </w:tblBorders>
      </w:tblPr>
      <w:tblGrid>
        <w:gridCol w:w="3264"/>
        <w:gridCol w:w="3264"/>
        <w:gridCol w:w="3264"/>
      </w:tblGrid>
      <w:tr>
        <w:tc>
          <w:tcPr>
            <w:tcW w:type="dxa" w:w="4031"/>
            <w:shd w:fill="F2F4F7"/>
            <w:vAlign w:val="center"/>
          </w:tcPr>
          <w:p>
            <w:pPr>
              <w:spacing w:after="0" w:line="252" w:lineRule="auto"/>
              <w:jc w:val="center"/>
            </w:pPr>
            <w:r/>
            <w:r>
              <w:rPr>
                <w:rFonts w:ascii="Calibri" w:hAnsi="Calibri"/>
                <w:b/>
                <w:color w:val="1F4D78"/>
                <w:sz w:val="17"/>
              </w:rPr>
              <w:t>Approach</w:t>
            </w:r>
          </w:p>
        </w:tc>
        <w:tc>
          <w:tcPr>
            <w:tcW w:type="dxa" w:w="2376"/>
            <w:shd w:fill="F2F4F7"/>
            <w:vAlign w:val="center"/>
          </w:tcPr>
          <w:p>
            <w:pPr>
              <w:spacing w:after="0" w:line="252" w:lineRule="auto"/>
              <w:jc w:val="center"/>
            </w:pPr>
            <w:r/>
            <w:r>
              <w:rPr>
                <w:rFonts w:ascii="Calibri" w:hAnsi="Calibri"/>
                <w:b/>
                <w:color w:val="1F4D78"/>
                <w:sz w:val="17"/>
              </w:rPr>
              <w:t>Avg. Reward</w:t>
            </w:r>
          </w:p>
        </w:tc>
        <w:tc>
          <w:tcPr>
            <w:tcW w:type="dxa" w:w="2592"/>
            <w:shd w:fill="F2F4F7"/>
            <w:vAlign w:val="center"/>
          </w:tcPr>
          <w:p>
            <w:pPr>
              <w:spacing w:after="0" w:line="252" w:lineRule="auto"/>
              <w:jc w:val="center"/>
            </w:pPr>
            <w:r/>
            <w:r>
              <w:rPr>
                <w:rFonts w:ascii="Calibri" w:hAnsi="Calibri"/>
                <w:b/>
                <w:color w:val="1F4D78"/>
                <w:sz w:val="17"/>
              </w:rPr>
              <w:t>Execution Time</w:t>
            </w:r>
          </w:p>
        </w:tc>
      </w:tr>
      <w:tr>
        <w:tc>
          <w:tcPr>
            <w:tcW w:type="dxa" w:w="4031"/>
            <w:vAlign w:val="center"/>
          </w:tcPr>
          <w:p>
            <w:pPr>
              <w:spacing w:after="0" w:line="252" w:lineRule="auto"/>
              <w:jc w:val="left"/>
            </w:pPr>
            <w:r/>
            <w:r>
              <w:rPr>
                <w:rFonts w:ascii="Calibri" w:hAnsi="Calibri"/>
                <w:b w:val="0"/>
                <w:sz w:val="17"/>
              </w:rPr>
              <w:t>Optimal (VI)</w:t>
            </w:r>
          </w:p>
        </w:tc>
        <w:tc>
          <w:tcPr>
            <w:tcW w:type="dxa" w:w="2376"/>
            <w:vAlign w:val="center"/>
          </w:tcPr>
          <w:p>
            <w:pPr>
              <w:spacing w:after="0" w:line="252" w:lineRule="auto"/>
              <w:jc w:val="center"/>
            </w:pPr>
            <w:r/>
            <w:r>
              <w:rPr>
                <w:rFonts w:ascii="Calibri" w:hAnsi="Calibri"/>
                <w:b w:val="0"/>
                <w:sz w:val="17"/>
              </w:rPr>
              <w:t>-378.83</w:t>
            </w:r>
          </w:p>
        </w:tc>
        <w:tc>
          <w:tcPr>
            <w:tcW w:type="dxa" w:w="2592"/>
            <w:vAlign w:val="center"/>
          </w:tcPr>
          <w:p>
            <w:pPr>
              <w:spacing w:after="0" w:line="252" w:lineRule="auto"/>
              <w:jc w:val="center"/>
            </w:pPr>
            <w:r/>
            <w:r>
              <w:rPr>
                <w:rFonts w:ascii="Calibri" w:hAnsi="Calibri"/>
                <w:b w:val="0"/>
                <w:sz w:val="17"/>
              </w:rPr>
              <w:t>0.24s</w:t>
            </w:r>
          </w:p>
        </w:tc>
      </w:tr>
      <w:tr>
        <w:tc>
          <w:tcPr>
            <w:tcW w:type="dxa" w:w="4031"/>
            <w:vAlign w:val="center"/>
          </w:tcPr>
          <w:p>
            <w:pPr>
              <w:spacing w:after="0" w:line="252" w:lineRule="auto"/>
              <w:jc w:val="left"/>
            </w:pPr>
            <w:r/>
            <w:r>
              <w:rPr>
                <w:rFonts w:ascii="Calibri" w:hAnsi="Calibri"/>
                <w:b w:val="0"/>
                <w:sz w:val="17"/>
              </w:rPr>
              <w:t>Greedy</w:t>
            </w:r>
          </w:p>
        </w:tc>
        <w:tc>
          <w:tcPr>
            <w:tcW w:type="dxa" w:w="2376"/>
            <w:vAlign w:val="center"/>
          </w:tcPr>
          <w:p>
            <w:pPr>
              <w:spacing w:after="0" w:line="252" w:lineRule="auto"/>
              <w:jc w:val="center"/>
            </w:pPr>
            <w:r/>
            <w:r>
              <w:rPr>
                <w:rFonts w:ascii="Calibri" w:hAnsi="Calibri"/>
                <w:b w:val="0"/>
                <w:sz w:val="17"/>
              </w:rPr>
              <w:t>-391.93</w:t>
            </w:r>
          </w:p>
        </w:tc>
        <w:tc>
          <w:tcPr>
            <w:tcW w:type="dxa" w:w="2592"/>
            <w:vAlign w:val="center"/>
          </w:tcPr>
          <w:p>
            <w:pPr>
              <w:spacing w:after="0" w:line="252" w:lineRule="auto"/>
              <w:jc w:val="center"/>
            </w:pPr>
            <w:r/>
            <w:r>
              <w:rPr>
                <w:rFonts w:ascii="Calibri" w:hAnsi="Calibri"/>
                <w:b w:val="0"/>
                <w:sz w:val="17"/>
              </w:rPr>
              <w:t>0.22s</w:t>
            </w:r>
          </w:p>
        </w:tc>
      </w:tr>
      <w:tr>
        <w:tc>
          <w:tcPr>
            <w:tcW w:type="dxa" w:w="4031"/>
            <w:vAlign w:val="center"/>
          </w:tcPr>
          <w:p>
            <w:pPr>
              <w:spacing w:after="0" w:line="252" w:lineRule="auto"/>
              <w:jc w:val="left"/>
            </w:pPr>
            <w:r/>
            <w:r>
              <w:rPr>
                <w:rFonts w:ascii="Calibri" w:hAnsi="Calibri"/>
                <w:b w:val="0"/>
                <w:sz w:val="17"/>
              </w:rPr>
              <w:t>SARSA</w:t>
            </w:r>
          </w:p>
        </w:tc>
        <w:tc>
          <w:tcPr>
            <w:tcW w:type="dxa" w:w="2376"/>
            <w:vAlign w:val="center"/>
          </w:tcPr>
          <w:p>
            <w:pPr>
              <w:spacing w:after="0" w:line="252" w:lineRule="auto"/>
              <w:jc w:val="center"/>
            </w:pPr>
            <w:r/>
            <w:r>
              <w:rPr>
                <w:rFonts w:ascii="Calibri" w:hAnsi="Calibri"/>
                <w:b w:val="0"/>
                <w:sz w:val="17"/>
              </w:rPr>
              <w:t>-444.43</w:t>
            </w:r>
          </w:p>
        </w:tc>
        <w:tc>
          <w:tcPr>
            <w:tcW w:type="dxa" w:w="2592"/>
            <w:vAlign w:val="center"/>
          </w:tcPr>
          <w:p>
            <w:pPr>
              <w:spacing w:after="0" w:line="252" w:lineRule="auto"/>
              <w:jc w:val="center"/>
            </w:pPr>
            <w:r/>
            <w:r>
              <w:rPr>
                <w:rFonts w:ascii="Calibri" w:hAnsi="Calibri"/>
                <w:b w:val="0"/>
                <w:sz w:val="17"/>
              </w:rPr>
              <w:t>0.85s</w:t>
            </w:r>
          </w:p>
        </w:tc>
      </w:tr>
      <w:tr>
        <w:tc>
          <w:tcPr>
            <w:tcW w:type="dxa" w:w="4031"/>
            <w:vAlign w:val="center"/>
          </w:tcPr>
          <w:p>
            <w:pPr>
              <w:spacing w:after="0" w:line="252" w:lineRule="auto"/>
              <w:jc w:val="left"/>
            </w:pPr>
            <w:r/>
            <w:r>
              <w:rPr>
                <w:rFonts w:ascii="Calibri" w:hAnsi="Calibri"/>
                <w:b w:val="0"/>
                <w:sz w:val="17"/>
              </w:rPr>
              <w:t>Static</w:t>
            </w:r>
          </w:p>
        </w:tc>
        <w:tc>
          <w:tcPr>
            <w:tcW w:type="dxa" w:w="2376"/>
            <w:vAlign w:val="center"/>
          </w:tcPr>
          <w:p>
            <w:pPr>
              <w:spacing w:after="0" w:line="252" w:lineRule="auto"/>
              <w:jc w:val="center"/>
            </w:pPr>
            <w:r/>
            <w:r>
              <w:rPr>
                <w:rFonts w:ascii="Calibri" w:hAnsi="Calibri"/>
                <w:b w:val="0"/>
                <w:sz w:val="17"/>
              </w:rPr>
              <w:t>-448.48</w:t>
            </w:r>
          </w:p>
        </w:tc>
        <w:tc>
          <w:tcPr>
            <w:tcW w:type="dxa" w:w="2592"/>
            <w:vAlign w:val="center"/>
          </w:tcPr>
          <w:p>
            <w:pPr>
              <w:spacing w:after="0" w:line="252" w:lineRule="auto"/>
              <w:jc w:val="center"/>
            </w:pPr>
            <w:r/>
            <w:r>
              <w:rPr>
                <w:rFonts w:ascii="Calibri" w:hAnsi="Calibri"/>
                <w:b w:val="0"/>
                <w:sz w:val="17"/>
              </w:rPr>
              <w:t>0.20s</w:t>
            </w:r>
          </w:p>
        </w:tc>
      </w:tr>
      <w:tr>
        <w:tc>
          <w:tcPr>
            <w:tcW w:type="dxa" w:w="4031"/>
            <w:vAlign w:val="center"/>
          </w:tcPr>
          <w:p>
            <w:pPr>
              <w:spacing w:after="0" w:line="252" w:lineRule="auto"/>
              <w:jc w:val="left"/>
            </w:pPr>
            <w:r/>
            <w:r>
              <w:rPr>
                <w:rFonts w:ascii="Calibri" w:hAnsi="Calibri"/>
                <w:b w:val="0"/>
                <w:sz w:val="17"/>
              </w:rPr>
              <w:t>Q-Learning</w:t>
            </w:r>
          </w:p>
        </w:tc>
        <w:tc>
          <w:tcPr>
            <w:tcW w:type="dxa" w:w="2376"/>
            <w:vAlign w:val="center"/>
          </w:tcPr>
          <w:p>
            <w:pPr>
              <w:spacing w:after="0" w:line="252" w:lineRule="auto"/>
              <w:jc w:val="center"/>
            </w:pPr>
            <w:r/>
            <w:r>
              <w:rPr>
                <w:rFonts w:ascii="Calibri" w:hAnsi="Calibri"/>
                <w:b w:val="0"/>
                <w:sz w:val="17"/>
              </w:rPr>
              <w:t>-455.82</w:t>
            </w:r>
          </w:p>
        </w:tc>
        <w:tc>
          <w:tcPr>
            <w:tcW w:type="dxa" w:w="2592"/>
            <w:vAlign w:val="center"/>
          </w:tcPr>
          <w:p>
            <w:pPr>
              <w:spacing w:after="0" w:line="252" w:lineRule="auto"/>
              <w:jc w:val="center"/>
            </w:pPr>
            <w:r/>
            <w:r>
              <w:rPr>
                <w:rFonts w:ascii="Calibri" w:hAnsi="Calibri"/>
                <w:b w:val="0"/>
                <w:sz w:val="17"/>
              </w:rPr>
              <w:t>1.16s</w:t>
            </w:r>
          </w:p>
        </w:tc>
      </w:tr>
      <w:tr>
        <w:tc>
          <w:tcPr>
            <w:tcW w:type="dxa" w:w="4031"/>
            <w:vAlign w:val="center"/>
          </w:tcPr>
          <w:p>
            <w:pPr>
              <w:spacing w:after="0" w:line="252" w:lineRule="auto"/>
              <w:jc w:val="left"/>
            </w:pPr>
            <w:r/>
            <w:r>
              <w:rPr>
                <w:rFonts w:ascii="Calibri" w:hAnsi="Calibri"/>
                <w:b w:val="0"/>
                <w:sz w:val="17"/>
              </w:rPr>
              <w:t>Monte Carlo</w:t>
            </w:r>
          </w:p>
        </w:tc>
        <w:tc>
          <w:tcPr>
            <w:tcW w:type="dxa" w:w="2376"/>
            <w:vAlign w:val="center"/>
          </w:tcPr>
          <w:p>
            <w:pPr>
              <w:spacing w:after="0" w:line="252" w:lineRule="auto"/>
              <w:jc w:val="center"/>
            </w:pPr>
            <w:r/>
            <w:r>
              <w:rPr>
                <w:rFonts w:ascii="Calibri" w:hAnsi="Calibri"/>
                <w:b w:val="0"/>
                <w:sz w:val="17"/>
              </w:rPr>
              <w:t>-458.65</w:t>
            </w:r>
          </w:p>
        </w:tc>
        <w:tc>
          <w:tcPr>
            <w:tcW w:type="dxa" w:w="2592"/>
            <w:vAlign w:val="center"/>
          </w:tcPr>
          <w:p>
            <w:pPr>
              <w:spacing w:after="0" w:line="252" w:lineRule="auto"/>
              <w:jc w:val="center"/>
            </w:pPr>
            <w:r/>
            <w:r>
              <w:rPr>
                <w:rFonts w:ascii="Calibri" w:hAnsi="Calibri"/>
                <w:b w:val="0"/>
                <w:sz w:val="17"/>
              </w:rPr>
              <w:t>5.81s</w:t>
            </w:r>
          </w:p>
        </w:tc>
      </w:tr>
    </w:tbl>
    <w:p>
      <w:pPr>
        <w:spacing w:after="40"/>
      </w:pPr>
    </w:p>
    <w:p>
      <w:pPr>
        <w:jc w:val="center"/>
      </w:pPr>
      <w:r>
        <w:drawing>
          <wp:inline xmlns:a="http://schemas.openxmlformats.org/drawingml/2006/main" xmlns:pic="http://schemas.openxmlformats.org/drawingml/2006/picture">
            <wp:extent cx="5074920" cy="2678430"/>
            <wp:docPr id="2" name="Picture 2"/>
            <wp:cNvGraphicFramePr>
              <a:graphicFrameLocks noChangeAspect="1"/>
            </wp:cNvGraphicFramePr>
            <a:graphic>
              <a:graphicData uri="http://schemas.openxmlformats.org/drawingml/2006/picture">
                <pic:pic>
                  <pic:nvPicPr>
                    <pic:cNvPr id="0" name="part1_latency_comparison.png"/>
                    <pic:cNvPicPr/>
                  </pic:nvPicPr>
                  <pic:blipFill>
                    <a:blip r:embed="rId12"/>
                    <a:stretch>
                      <a:fillRect/>
                    </a:stretch>
                  </pic:blipFill>
                  <pic:spPr>
                    <a:xfrm>
                      <a:off x="0" y="0"/>
                      <a:ext cx="5074920" cy="2678430"/>
                    </a:xfrm>
                    <a:prstGeom prst="rect"/>
                  </pic:spPr>
                </pic:pic>
              </a:graphicData>
            </a:graphic>
          </wp:inline>
        </w:drawing>
      </w:r>
    </w:p>
    <w:p>
      <w:pPr>
        <w:spacing w:before="40" w:after="160"/>
        <w:jc w:val="center"/>
      </w:pPr>
      <w:r>
        <w:rPr>
          <w:rFonts w:ascii="Calibri" w:hAnsi="Calibri"/>
          <w:i/>
          <w:color w:val="595959"/>
          <w:sz w:val="17"/>
        </w:rPr>
        <w:t>Figure 2. Execution-time comparison from the preserved presentation results.</w:t>
      </w:r>
    </w:p>
    <w:p>
      <w:pPr>
        <w:spacing w:after="120" w:line="264" w:lineRule="auto"/>
      </w:pPr>
      <w:r>
        <w:rPr>
          <w:rFonts w:ascii="Calibri" w:hAnsi="Calibri"/>
          <w:sz w:val="20"/>
        </w:rPr>
        <w:t>In the simple single-intersection setting, SARSA slightly outperforms static timing, validating that reinforcement learning can learn useful adaptive policies. However, the greedy heuristic still performs strongly because the environment is simple and the heuristic has direct access to exact current queue information.</w:t>
      </w:r>
    </w:p>
    <w:p>
      <w:pPr>
        <w:spacing w:after="120" w:line="264" w:lineRule="auto"/>
      </w:pPr>
      <w:r>
        <w:rPr>
          <w:rFonts w:ascii="Calibri" w:hAnsi="Calibri"/>
          <w:sz w:val="20"/>
        </w:rPr>
        <w:t>This result should be interpreted as a benchmark limitation rather than a failure of RL. The test is local, two-phase, and fully observable to the heuristic. A richer networked experiment is needed to examine delayed interactions and coordination effects.</w:t>
      </w:r>
    </w:p>
    <w:p>
      <w:r>
        <w:br w:type="page"/>
      </w:r>
    </w:p>
    <w:p>
      <w:pPr>
        <w:pStyle w:val="Heading1"/>
      </w:pPr>
      <w:r>
        <w:t>3. Extension: Coordinated Two-Intersection Corridor</w:t>
      </w:r>
    </w:p>
    <w:p>
      <w:pPr>
        <w:spacing w:after="120" w:line="264" w:lineRule="auto"/>
      </w:pPr>
      <w:r>
        <w:rPr>
          <w:rFonts w:ascii="Calibri" w:hAnsi="Calibri"/>
          <w:sz w:val="20"/>
        </w:rPr>
        <w:t>The extension adds a corridor with Intersection A upstream of Intersection B. Vehicles released from A arrive at B after a four-step delay, traffic demand changes by regime, and both signals must coordinate phases. The DQN observes queue buckets at both intersections, both phases, in-transit vehicles, and the demand regime. Static timing alternates on a fixed cycle, while greedy control serves only the largest current local queue.</w:t>
      </w:r>
    </w:p>
    <w:p>
      <w:pPr>
        <w:jc w:val="center"/>
      </w:pPr>
      <w:r>
        <w:drawing>
          <wp:inline xmlns:a="http://schemas.openxmlformats.org/drawingml/2006/main" xmlns:pic="http://schemas.openxmlformats.org/drawingml/2006/picture">
            <wp:extent cx="5166360" cy="2726690"/>
            <wp:docPr id="3" name="Picture 3"/>
            <wp:cNvGraphicFramePr>
              <a:graphicFrameLocks noChangeAspect="1"/>
            </wp:cNvGraphicFramePr>
            <a:graphic>
              <a:graphicData uri="http://schemas.openxmlformats.org/drawingml/2006/picture">
                <pic:pic>
                  <pic:nvPicPr>
                    <pic:cNvPr id="0" name="part2_network_diagram.png"/>
                    <pic:cNvPicPr/>
                  </pic:nvPicPr>
                  <pic:blipFill>
                    <a:blip r:embed="rId13"/>
                    <a:stretch>
                      <a:fillRect/>
                    </a:stretch>
                  </pic:blipFill>
                  <pic:spPr>
                    <a:xfrm>
                      <a:off x="0" y="0"/>
                      <a:ext cx="5166360" cy="2726690"/>
                    </a:xfrm>
                    <a:prstGeom prst="rect"/>
                  </pic:spPr>
                </pic:pic>
              </a:graphicData>
            </a:graphic>
          </wp:inline>
        </w:drawing>
      </w:r>
    </w:p>
    <w:p>
      <w:pPr>
        <w:spacing w:before="40" w:after="160"/>
        <w:jc w:val="center"/>
      </w:pPr>
      <w:r>
        <w:rPr>
          <w:rFonts w:ascii="Calibri" w:hAnsi="Calibri"/>
          <w:i/>
          <w:color w:val="595959"/>
          <w:sz w:val="17"/>
        </w:rPr>
        <w:t>Figure 3. Coordinated corridor with delayed upstream-to-downstream platoons.</w:t>
      </w:r>
    </w:p>
    <w:tbl>
      <w:tblPr>
        <w:tblW w:type="auto" w:w="0"/>
        <w:tblLayout w:type="fixed"/>
        <w:tblLook w:firstColumn="1" w:firstRow="1" w:lastColumn="0" w:lastRow="0" w:noHBand="0" w:noVBand="1" w:val="04A0"/>
        <w:tblBorders>
          <w:top w:val="single" w:sz="6" w:space="0" w:color="C9D3DF"/>
          <w:left w:val="single" w:sz="6" w:space="0" w:color="C9D3DF"/>
          <w:bottom w:val="single" w:sz="6" w:space="0" w:color="C9D3DF"/>
          <w:right w:val="single" w:sz="6" w:space="0" w:color="C9D3DF"/>
          <w:insideH w:val="single" w:sz="6" w:space="0" w:color="C9D3DF"/>
          <w:insideV w:val="single" w:sz="6" w:space="0" w:color="C9D3DF"/>
        </w:tblBorders>
      </w:tblPr>
      <w:tblGrid>
        <w:gridCol w:w="1958"/>
        <w:gridCol w:w="1958"/>
        <w:gridCol w:w="1958"/>
        <w:gridCol w:w="1958"/>
        <w:gridCol w:w="1958"/>
      </w:tblGrid>
      <w:tr>
        <w:tc>
          <w:tcPr>
            <w:tcW w:type="dxa" w:w="2232"/>
            <w:shd w:fill="F2F4F7"/>
            <w:vAlign w:val="center"/>
          </w:tcPr>
          <w:p>
            <w:pPr>
              <w:spacing w:after="0" w:line="252" w:lineRule="auto"/>
              <w:jc w:val="center"/>
            </w:pPr>
            <w:r/>
            <w:r>
              <w:rPr>
                <w:rFonts w:ascii="Calibri" w:hAnsi="Calibri"/>
                <w:b/>
                <w:color w:val="1F4D78"/>
                <w:sz w:val="17"/>
              </w:rPr>
              <w:t>Approach</w:t>
            </w:r>
          </w:p>
        </w:tc>
        <w:tc>
          <w:tcPr>
            <w:tcW w:type="dxa" w:w="1800"/>
            <w:shd w:fill="F2F4F7"/>
            <w:vAlign w:val="center"/>
          </w:tcPr>
          <w:p>
            <w:pPr>
              <w:spacing w:after="0" w:line="252" w:lineRule="auto"/>
              <w:jc w:val="center"/>
            </w:pPr>
            <w:r/>
            <w:r>
              <w:rPr>
                <w:rFonts w:ascii="Calibri" w:hAnsi="Calibri"/>
                <w:b/>
                <w:color w:val="1F4D78"/>
                <w:sz w:val="17"/>
              </w:rPr>
              <w:t>Reward</w:t>
            </w:r>
          </w:p>
        </w:tc>
        <w:tc>
          <w:tcPr>
            <w:tcW w:type="dxa" w:w="1655"/>
            <w:shd w:fill="F2F4F7"/>
            <w:vAlign w:val="center"/>
          </w:tcPr>
          <w:p>
            <w:pPr>
              <w:spacing w:after="0" w:line="252" w:lineRule="auto"/>
              <w:jc w:val="center"/>
            </w:pPr>
            <w:r/>
            <w:r>
              <w:rPr>
                <w:rFonts w:ascii="Calibri" w:hAnsi="Calibri"/>
                <w:b/>
                <w:color w:val="1F4D78"/>
                <w:sz w:val="17"/>
              </w:rPr>
              <w:t>Avg. Queue</w:t>
            </w:r>
          </w:p>
        </w:tc>
        <w:tc>
          <w:tcPr>
            <w:tcW w:type="dxa" w:w="1655"/>
            <w:shd w:fill="F2F4F7"/>
            <w:vAlign w:val="center"/>
          </w:tcPr>
          <w:p>
            <w:pPr>
              <w:spacing w:after="0" w:line="252" w:lineRule="auto"/>
              <w:jc w:val="center"/>
            </w:pPr>
            <w:r/>
            <w:r>
              <w:rPr>
                <w:rFonts w:ascii="Calibri" w:hAnsi="Calibri"/>
                <w:b/>
                <w:color w:val="1F4D78"/>
                <w:sz w:val="17"/>
              </w:rPr>
              <w:t>Avg. Delay</w:t>
            </w:r>
          </w:p>
        </w:tc>
        <w:tc>
          <w:tcPr>
            <w:tcW w:type="dxa" w:w="1584"/>
            <w:shd w:fill="F2F4F7"/>
            <w:vAlign w:val="center"/>
          </w:tcPr>
          <w:p>
            <w:pPr>
              <w:spacing w:after="0" w:line="252" w:lineRule="auto"/>
              <w:jc w:val="center"/>
            </w:pPr>
            <w:r/>
            <w:r>
              <w:rPr>
                <w:rFonts w:ascii="Calibri" w:hAnsi="Calibri"/>
                <w:b/>
                <w:color w:val="1F4D78"/>
                <w:sz w:val="17"/>
              </w:rPr>
              <w:t>Switches</w:t>
            </w:r>
          </w:p>
        </w:tc>
      </w:tr>
      <w:tr>
        <w:tc>
          <w:tcPr>
            <w:tcW w:type="dxa" w:w="2232"/>
            <w:vAlign w:val="center"/>
          </w:tcPr>
          <w:p>
            <w:pPr>
              <w:spacing w:after="0" w:line="252" w:lineRule="auto"/>
              <w:jc w:val="left"/>
            </w:pPr>
            <w:r/>
            <w:r>
              <w:rPr>
                <w:rFonts w:ascii="Calibri" w:hAnsi="Calibri"/>
                <w:b w:val="0"/>
                <w:sz w:val="17"/>
              </w:rPr>
              <w:t>DQN RL</w:t>
            </w:r>
          </w:p>
        </w:tc>
        <w:tc>
          <w:tcPr>
            <w:tcW w:type="dxa" w:w="1800"/>
            <w:vAlign w:val="center"/>
          </w:tcPr>
          <w:p>
            <w:pPr>
              <w:spacing w:after="0" w:line="252" w:lineRule="auto"/>
              <w:jc w:val="center"/>
            </w:pPr>
            <w:r/>
            <w:r>
              <w:rPr>
                <w:rFonts w:ascii="Calibri" w:hAnsi="Calibri"/>
                <w:b w:val="0"/>
                <w:sz w:val="17"/>
              </w:rPr>
              <w:t>-6352.98</w:t>
            </w:r>
          </w:p>
        </w:tc>
        <w:tc>
          <w:tcPr>
            <w:tcW w:type="dxa" w:w="1655"/>
            <w:vAlign w:val="center"/>
          </w:tcPr>
          <w:p>
            <w:pPr>
              <w:spacing w:after="0" w:line="252" w:lineRule="auto"/>
              <w:jc w:val="center"/>
            </w:pPr>
            <w:r/>
            <w:r>
              <w:rPr>
                <w:rFonts w:ascii="Calibri" w:hAnsi="Calibri"/>
                <w:b w:val="0"/>
                <w:sz w:val="17"/>
              </w:rPr>
              <w:t>41.75</w:t>
            </w:r>
          </w:p>
        </w:tc>
        <w:tc>
          <w:tcPr>
            <w:tcW w:type="dxa" w:w="1655"/>
            <w:vAlign w:val="center"/>
          </w:tcPr>
          <w:p>
            <w:pPr>
              <w:spacing w:after="0" w:line="252" w:lineRule="auto"/>
              <w:jc w:val="center"/>
            </w:pPr>
            <w:r/>
            <w:r>
              <w:rPr>
                <w:rFonts w:ascii="Calibri" w:hAnsi="Calibri"/>
                <w:b w:val="0"/>
                <w:sz w:val="17"/>
              </w:rPr>
              <w:t>41.75</w:t>
            </w:r>
          </w:p>
        </w:tc>
        <w:tc>
          <w:tcPr>
            <w:tcW w:type="dxa" w:w="1584"/>
            <w:vAlign w:val="center"/>
          </w:tcPr>
          <w:p>
            <w:pPr>
              <w:spacing w:after="0" w:line="252" w:lineRule="auto"/>
              <w:jc w:val="center"/>
            </w:pPr>
            <w:r/>
            <w:r>
              <w:rPr>
                <w:rFonts w:ascii="Calibri" w:hAnsi="Calibri"/>
                <w:b w:val="0"/>
                <w:sz w:val="17"/>
              </w:rPr>
              <w:t>66.55</w:t>
            </w:r>
          </w:p>
        </w:tc>
      </w:tr>
      <w:tr>
        <w:tc>
          <w:tcPr>
            <w:tcW w:type="dxa" w:w="2232"/>
            <w:vAlign w:val="center"/>
          </w:tcPr>
          <w:p>
            <w:pPr>
              <w:spacing w:after="0" w:line="252" w:lineRule="auto"/>
              <w:jc w:val="left"/>
            </w:pPr>
            <w:r/>
            <w:r>
              <w:rPr>
                <w:rFonts w:ascii="Calibri" w:hAnsi="Calibri"/>
                <w:b w:val="0"/>
                <w:sz w:val="17"/>
              </w:rPr>
              <w:t>Static</w:t>
            </w:r>
          </w:p>
        </w:tc>
        <w:tc>
          <w:tcPr>
            <w:tcW w:type="dxa" w:w="1800"/>
            <w:vAlign w:val="center"/>
          </w:tcPr>
          <w:p>
            <w:pPr>
              <w:spacing w:after="0" w:line="252" w:lineRule="auto"/>
              <w:jc w:val="center"/>
            </w:pPr>
            <w:r/>
            <w:r>
              <w:rPr>
                <w:rFonts w:ascii="Calibri" w:hAnsi="Calibri"/>
                <w:b w:val="0"/>
                <w:sz w:val="17"/>
              </w:rPr>
              <w:t>-13452.73</w:t>
            </w:r>
          </w:p>
        </w:tc>
        <w:tc>
          <w:tcPr>
            <w:tcW w:type="dxa" w:w="1655"/>
            <w:vAlign w:val="center"/>
          </w:tcPr>
          <w:p>
            <w:pPr>
              <w:spacing w:after="0" w:line="252" w:lineRule="auto"/>
              <w:jc w:val="center"/>
            </w:pPr>
            <w:r/>
            <w:r>
              <w:rPr>
                <w:rFonts w:ascii="Calibri" w:hAnsi="Calibri"/>
                <w:b w:val="0"/>
                <w:sz w:val="17"/>
              </w:rPr>
              <w:t>78.96</w:t>
            </w:r>
          </w:p>
        </w:tc>
        <w:tc>
          <w:tcPr>
            <w:tcW w:type="dxa" w:w="1655"/>
            <w:vAlign w:val="center"/>
          </w:tcPr>
          <w:p>
            <w:pPr>
              <w:spacing w:after="0" w:line="252" w:lineRule="auto"/>
              <w:jc w:val="center"/>
            </w:pPr>
            <w:r/>
            <w:r>
              <w:rPr>
                <w:rFonts w:ascii="Calibri" w:hAnsi="Calibri"/>
                <w:b w:val="0"/>
                <w:sz w:val="17"/>
              </w:rPr>
              <w:t>81.50</w:t>
            </w:r>
          </w:p>
        </w:tc>
        <w:tc>
          <w:tcPr>
            <w:tcW w:type="dxa" w:w="1584"/>
            <w:vAlign w:val="center"/>
          </w:tcPr>
          <w:p>
            <w:pPr>
              <w:spacing w:after="0" w:line="252" w:lineRule="auto"/>
              <w:jc w:val="center"/>
            </w:pPr>
            <w:r/>
            <w:r>
              <w:rPr>
                <w:rFonts w:ascii="Calibri" w:hAnsi="Calibri"/>
                <w:b w:val="0"/>
                <w:sz w:val="17"/>
              </w:rPr>
              <w:t>28.00</w:t>
            </w:r>
          </w:p>
        </w:tc>
      </w:tr>
      <w:tr>
        <w:tc>
          <w:tcPr>
            <w:tcW w:type="dxa" w:w="2232"/>
            <w:vAlign w:val="center"/>
          </w:tcPr>
          <w:p>
            <w:pPr>
              <w:spacing w:after="0" w:line="252" w:lineRule="auto"/>
              <w:jc w:val="left"/>
            </w:pPr>
            <w:r/>
            <w:r>
              <w:rPr>
                <w:rFonts w:ascii="Calibri" w:hAnsi="Calibri"/>
                <w:b w:val="0"/>
                <w:sz w:val="17"/>
              </w:rPr>
              <w:t>Greedy</w:t>
            </w:r>
          </w:p>
        </w:tc>
        <w:tc>
          <w:tcPr>
            <w:tcW w:type="dxa" w:w="1800"/>
            <w:vAlign w:val="center"/>
          </w:tcPr>
          <w:p>
            <w:pPr>
              <w:spacing w:after="0" w:line="252" w:lineRule="auto"/>
              <w:jc w:val="center"/>
            </w:pPr>
            <w:r/>
            <w:r>
              <w:rPr>
                <w:rFonts w:ascii="Calibri" w:hAnsi="Calibri"/>
                <w:b w:val="0"/>
                <w:sz w:val="17"/>
              </w:rPr>
              <w:t>-17328.68</w:t>
            </w:r>
          </w:p>
        </w:tc>
        <w:tc>
          <w:tcPr>
            <w:tcW w:type="dxa" w:w="1655"/>
            <w:vAlign w:val="center"/>
          </w:tcPr>
          <w:p>
            <w:pPr>
              <w:spacing w:after="0" w:line="252" w:lineRule="auto"/>
              <w:jc w:val="center"/>
            </w:pPr>
            <w:r/>
            <w:r>
              <w:rPr>
                <w:rFonts w:ascii="Calibri" w:hAnsi="Calibri"/>
                <w:b w:val="0"/>
                <w:sz w:val="17"/>
              </w:rPr>
              <w:t>99.41</w:t>
            </w:r>
          </w:p>
        </w:tc>
        <w:tc>
          <w:tcPr>
            <w:tcW w:type="dxa" w:w="1655"/>
            <w:vAlign w:val="center"/>
          </w:tcPr>
          <w:p>
            <w:pPr>
              <w:spacing w:after="0" w:line="252" w:lineRule="auto"/>
              <w:jc w:val="center"/>
            </w:pPr>
            <w:r/>
            <w:r>
              <w:rPr>
                <w:rFonts w:ascii="Calibri" w:hAnsi="Calibri"/>
                <w:b w:val="0"/>
                <w:sz w:val="17"/>
              </w:rPr>
              <w:t>102.29</w:t>
            </w:r>
          </w:p>
        </w:tc>
        <w:tc>
          <w:tcPr>
            <w:tcW w:type="dxa" w:w="1584"/>
            <w:vAlign w:val="center"/>
          </w:tcPr>
          <w:p>
            <w:pPr>
              <w:spacing w:after="0" w:line="252" w:lineRule="auto"/>
              <w:jc w:val="center"/>
            </w:pPr>
            <w:r/>
            <w:r>
              <w:rPr>
                <w:rFonts w:ascii="Calibri" w:hAnsi="Calibri"/>
                <w:b w:val="0"/>
                <w:sz w:val="17"/>
              </w:rPr>
              <w:t>181.18</w:t>
            </w:r>
          </w:p>
        </w:tc>
      </w:tr>
      <w:tr>
        <w:tc>
          <w:tcPr>
            <w:tcW w:type="dxa" w:w="2232"/>
            <w:vAlign w:val="center"/>
          </w:tcPr>
          <w:p>
            <w:pPr>
              <w:spacing w:after="0" w:line="252" w:lineRule="auto"/>
              <w:jc w:val="left"/>
            </w:pPr>
            <w:r/>
            <w:r>
              <w:rPr>
                <w:rFonts w:ascii="Calibri" w:hAnsi="Calibri"/>
                <w:b w:val="0"/>
                <w:sz w:val="17"/>
              </w:rPr>
              <w:t>Threshold</w:t>
            </w:r>
          </w:p>
        </w:tc>
        <w:tc>
          <w:tcPr>
            <w:tcW w:type="dxa" w:w="1800"/>
            <w:vAlign w:val="center"/>
          </w:tcPr>
          <w:p>
            <w:pPr>
              <w:spacing w:after="0" w:line="252" w:lineRule="auto"/>
              <w:jc w:val="center"/>
            </w:pPr>
            <w:r/>
            <w:r>
              <w:rPr>
                <w:rFonts w:ascii="Calibri" w:hAnsi="Calibri"/>
                <w:b w:val="0"/>
                <w:sz w:val="17"/>
              </w:rPr>
              <w:t>-17546.14</w:t>
            </w:r>
          </w:p>
        </w:tc>
        <w:tc>
          <w:tcPr>
            <w:tcW w:type="dxa" w:w="1655"/>
            <w:vAlign w:val="center"/>
          </w:tcPr>
          <w:p>
            <w:pPr>
              <w:spacing w:after="0" w:line="252" w:lineRule="auto"/>
              <w:jc w:val="center"/>
            </w:pPr>
            <w:r/>
            <w:r>
              <w:rPr>
                <w:rFonts w:ascii="Calibri" w:hAnsi="Calibri"/>
                <w:b w:val="0"/>
                <w:sz w:val="17"/>
              </w:rPr>
              <w:t>101.53</w:t>
            </w:r>
          </w:p>
        </w:tc>
        <w:tc>
          <w:tcPr>
            <w:tcW w:type="dxa" w:w="1655"/>
            <w:vAlign w:val="center"/>
          </w:tcPr>
          <w:p>
            <w:pPr>
              <w:spacing w:after="0" w:line="252" w:lineRule="auto"/>
              <w:jc w:val="center"/>
            </w:pPr>
            <w:r/>
            <w:r>
              <w:rPr>
                <w:rFonts w:ascii="Calibri" w:hAnsi="Calibri"/>
                <w:b w:val="0"/>
                <w:sz w:val="17"/>
              </w:rPr>
              <w:t>104.56</w:t>
            </w:r>
          </w:p>
        </w:tc>
        <w:tc>
          <w:tcPr>
            <w:tcW w:type="dxa" w:w="1584"/>
            <w:vAlign w:val="center"/>
          </w:tcPr>
          <w:p>
            <w:pPr>
              <w:spacing w:after="0" w:line="252" w:lineRule="auto"/>
              <w:jc w:val="center"/>
            </w:pPr>
            <w:r/>
            <w:r>
              <w:rPr>
                <w:rFonts w:ascii="Calibri" w:hAnsi="Calibri"/>
                <w:b w:val="0"/>
                <w:sz w:val="17"/>
              </w:rPr>
              <w:t>70.49</w:t>
            </w:r>
          </w:p>
        </w:tc>
      </w:tr>
    </w:tbl>
    <w:p>
      <w:pPr>
        <w:spacing w:after="40"/>
      </w:pPr>
    </w:p>
    <w:p>
      <w:pPr>
        <w:spacing w:after="120" w:line="264" w:lineRule="auto"/>
      </w:pPr>
      <w:r>
        <w:rPr>
          <w:rFonts w:ascii="Calibri" w:hAnsi="Calibri"/>
          <w:sz w:val="20"/>
        </w:rPr>
        <w:t>DQN achieves the highest reward and lowest average delay. Greedy clears visible queues aggressively, but its reactive switching creates downstream congestion and high delay. The extension therefore supports the refined conclusion: RL does not universally beat every traffic rule, but its advantage becomes clearer when traffic systems contain delayed interactions and coordination requirements.</w:t>
      </w:r>
    </w:p>
    <w:p>
      <w:pPr>
        <w:spacing w:after="120" w:line="264" w:lineRule="auto"/>
      </w:pPr>
      <w:r>
        <w:rPr>
          <w:rFonts w:ascii="Calibri" w:hAnsi="Calibri"/>
          <w:sz w:val="20"/>
        </w:rPr>
        <w:t>Future work should expand this approach toward continuous-state deep RL, larger multi-agent road networks, richer sensing, and safety constraints suitable for real traffic infrastructure.</w:t>
      </w:r>
    </w:p>
    <w:p>
      <w:r>
        <w:br w:type="page"/>
      </w:r>
    </w:p>
    <w:p>
      <w:pPr>
        <w:pStyle w:val="Heading1"/>
      </w:pPr>
      <w:r>
        <w:t>References</w:t>
      </w:r>
    </w:p>
    <w:p>
      <w:pPr>
        <w:spacing w:after="120"/>
        <w:ind w:left="360" w:hanging="360"/>
      </w:pPr>
      <w:r>
        <w:rPr>
          <w:rFonts w:ascii="Calibri" w:hAnsi="Calibri"/>
          <w:sz w:val="20"/>
        </w:rPr>
        <w:t>Sutton, R. S., and Barto, A. G. (2018). Reinforcement Learning: An Introduction. MIT Press.</w:t>
      </w:r>
    </w:p>
    <w:p>
      <w:pPr>
        <w:spacing w:after="120"/>
        <w:ind w:left="360" w:hanging="360"/>
      </w:pPr>
      <w:r>
        <w:rPr>
          <w:rFonts w:ascii="Calibri" w:hAnsi="Calibri"/>
          <w:sz w:val="20"/>
        </w:rPr>
        <w:t>Watkins, C. J. C. H., and Dayan, P. (1992). Q-learning. Machine Learning, 8, 279-292.</w:t>
      </w:r>
    </w:p>
    <w:p>
      <w:pPr>
        <w:spacing w:after="120"/>
        <w:ind w:left="360" w:hanging="360"/>
      </w:pPr>
      <w:r>
        <w:rPr>
          <w:rFonts w:ascii="Calibri" w:hAnsi="Calibri"/>
          <w:sz w:val="20"/>
        </w:rPr>
        <w:t>Rummery, G. A., and Niranjan, M. (1994). On-line Q-learning using connectionist systems. Cambridge University Engineering Department.</w:t>
      </w:r>
    </w:p>
    <w:p>
      <w:pPr>
        <w:spacing w:after="120"/>
        <w:ind w:left="360" w:hanging="360"/>
      </w:pPr>
      <w:r>
        <w:rPr>
          <w:rFonts w:ascii="Calibri" w:hAnsi="Calibri"/>
          <w:sz w:val="20"/>
        </w:rPr>
        <w:t>Mnih, V. et al. (2015). Human-level control through deep reinforcement learning. Nature, 518, 529-533.</w:t>
      </w:r>
    </w:p>
    <w:p>
      <w:pPr>
        <w:spacing w:after="120"/>
        <w:ind w:left="360" w:hanging="360"/>
      </w:pPr>
      <w:r>
        <w:rPr>
          <w:rFonts w:ascii="Calibri" w:hAnsi="Calibri"/>
          <w:sz w:val="20"/>
        </w:rPr>
        <w:t>Wei, H. et al. (2019). PressLight: Learning max pressure control to coordinate traffic signals in arterial network. KDD, 1290-1298.</w:t>
      </w:r>
    </w:p>
    <w:p>
      <w:r>
        <w:br w:type="page"/>
      </w:r>
    </w:p>
    <w:p>
      <w:pPr>
        <w:pStyle w:val="Heading1"/>
      </w:pPr>
      <w:r>
        <w:t>Appendix: Reproducibility Notes</w:t>
      </w:r>
    </w:p>
    <w:p>
      <w:pPr>
        <w:spacing w:after="120" w:line="264" w:lineRule="auto"/>
      </w:pPr>
      <w:r>
        <w:rPr>
          <w:rFonts w:ascii="Calibri" w:hAnsi="Calibri"/>
          <w:sz w:val="20"/>
        </w:rPr>
        <w:t>Part I figures are generated from the slide-exact CSV file at experiments/simple_intersection/presentation_results.csv. The original stochastic single-intersection simulator remains in efficiency_experiment.py for reproducibility, but the final report preserves the presentation values exactly.</w:t>
      </w:r>
    </w:p>
    <w:p>
      <w:pPr>
        <w:spacing w:after="120" w:line="264" w:lineRule="auto"/>
      </w:pPr>
      <w:r>
        <w:rPr>
          <w:rFonts w:ascii="Calibri" w:hAnsi="Calibri"/>
          <w:sz w:val="20"/>
        </w:rPr>
        <w:t>Part II uses a DQN with experience replay, a target network, epsilon-greedy exploration, and fixed evaluation seeds. Evaluation compares DQN RL against static fixed timing, local greedy control, and threshold switching.</w:t>
      </w:r>
    </w:p>
    <w:tbl>
      <w:tblPr>
        <w:tblW w:type="auto" w:w="0"/>
        <w:tblLayout w:type="fixed"/>
        <w:tblLook w:firstColumn="1" w:firstRow="1" w:lastColumn="0" w:lastRow="0" w:noHBand="0" w:noVBand="1" w:val="04A0"/>
        <w:tblBorders>
          <w:top w:val="single" w:sz="6" w:space="0" w:color="C9D3DF"/>
          <w:left w:val="single" w:sz="6" w:space="0" w:color="C9D3DF"/>
          <w:bottom w:val="single" w:sz="6" w:space="0" w:color="C9D3DF"/>
          <w:right w:val="single" w:sz="6" w:space="0" w:color="C9D3DF"/>
          <w:insideH w:val="single" w:sz="6" w:space="0" w:color="C9D3DF"/>
          <w:insideV w:val="single" w:sz="6" w:space="0" w:color="C9D3DF"/>
        </w:tblBorders>
      </w:tblPr>
      <w:tblGrid>
        <w:gridCol w:w="4896"/>
        <w:gridCol w:w="4896"/>
      </w:tblGrid>
      <w:tr>
        <w:tc>
          <w:tcPr>
            <w:tcW w:type="dxa" w:w="4464"/>
            <w:shd w:fill="F2F4F7"/>
            <w:vAlign w:val="center"/>
          </w:tcPr>
          <w:p>
            <w:pPr>
              <w:spacing w:after="0" w:line="252" w:lineRule="auto"/>
              <w:jc w:val="center"/>
            </w:pPr>
            <w:r/>
            <w:r>
              <w:rPr>
                <w:rFonts w:ascii="Calibri" w:hAnsi="Calibri"/>
                <w:b/>
                <w:color w:val="1F4D78"/>
                <w:sz w:val="17"/>
              </w:rPr>
              <w:t>Parameter</w:t>
            </w:r>
          </w:p>
        </w:tc>
        <w:tc>
          <w:tcPr>
            <w:tcW w:type="dxa" w:w="4320"/>
            <w:shd w:fill="F2F4F7"/>
            <w:vAlign w:val="center"/>
          </w:tcPr>
          <w:p>
            <w:pPr>
              <w:spacing w:after="0" w:line="252" w:lineRule="auto"/>
              <w:jc w:val="center"/>
            </w:pPr>
            <w:r/>
            <w:r>
              <w:rPr>
                <w:rFonts w:ascii="Calibri" w:hAnsi="Calibri"/>
                <w:b/>
                <w:color w:val="1F4D78"/>
                <w:sz w:val="17"/>
              </w:rPr>
              <w:t>Value</w:t>
            </w:r>
          </w:p>
        </w:tc>
      </w:tr>
      <w:tr>
        <w:tc>
          <w:tcPr>
            <w:tcW w:type="dxa" w:w="4464"/>
            <w:vAlign w:val="center"/>
          </w:tcPr>
          <w:p>
            <w:pPr>
              <w:spacing w:after="0" w:line="252" w:lineRule="auto"/>
              <w:jc w:val="left"/>
            </w:pPr>
            <w:r/>
            <w:r>
              <w:rPr>
                <w:rFonts w:ascii="Calibri" w:hAnsi="Calibri"/>
                <w:b w:val="0"/>
                <w:sz w:val="17"/>
              </w:rPr>
              <w:t>Training episodes</w:t>
            </w:r>
          </w:p>
        </w:tc>
        <w:tc>
          <w:tcPr>
            <w:tcW w:type="dxa" w:w="4320"/>
            <w:vAlign w:val="center"/>
          </w:tcPr>
          <w:p>
            <w:pPr>
              <w:spacing w:after="0" w:line="252" w:lineRule="auto"/>
              <w:jc w:val="center"/>
            </w:pPr>
            <w:r/>
            <w:r>
              <w:rPr>
                <w:rFonts w:ascii="Calibri" w:hAnsi="Calibri"/>
                <w:b w:val="0"/>
                <w:sz w:val="17"/>
              </w:rPr>
              <w:t>180</w:t>
            </w:r>
          </w:p>
        </w:tc>
      </w:tr>
      <w:tr>
        <w:tc>
          <w:tcPr>
            <w:tcW w:type="dxa" w:w="4464"/>
            <w:vAlign w:val="center"/>
          </w:tcPr>
          <w:p>
            <w:pPr>
              <w:spacing w:after="0" w:line="252" w:lineRule="auto"/>
              <w:jc w:val="left"/>
            </w:pPr>
            <w:r/>
            <w:r>
              <w:rPr>
                <w:rFonts w:ascii="Calibri" w:hAnsi="Calibri"/>
                <w:b w:val="0"/>
                <w:sz w:val="17"/>
              </w:rPr>
              <w:t>Horizon</w:t>
            </w:r>
          </w:p>
        </w:tc>
        <w:tc>
          <w:tcPr>
            <w:tcW w:type="dxa" w:w="4320"/>
            <w:vAlign w:val="center"/>
          </w:tcPr>
          <w:p>
            <w:pPr>
              <w:spacing w:after="0" w:line="252" w:lineRule="auto"/>
              <w:jc w:val="center"/>
            </w:pPr>
            <w:r/>
            <w:r>
              <w:rPr>
                <w:rFonts w:ascii="Calibri" w:hAnsi="Calibri"/>
                <w:b w:val="0"/>
                <w:sz w:val="17"/>
              </w:rPr>
              <w:t>180 steps</w:t>
            </w:r>
          </w:p>
        </w:tc>
      </w:tr>
      <w:tr>
        <w:tc>
          <w:tcPr>
            <w:tcW w:type="dxa" w:w="4464"/>
            <w:vAlign w:val="center"/>
          </w:tcPr>
          <w:p>
            <w:pPr>
              <w:spacing w:after="0" w:line="252" w:lineRule="auto"/>
              <w:jc w:val="left"/>
            </w:pPr>
            <w:r/>
            <w:r>
              <w:rPr>
                <w:rFonts w:ascii="Calibri" w:hAnsi="Calibri"/>
                <w:b w:val="0"/>
                <w:sz w:val="17"/>
              </w:rPr>
              <w:t>Discount factor</w:t>
            </w:r>
          </w:p>
        </w:tc>
        <w:tc>
          <w:tcPr>
            <w:tcW w:type="dxa" w:w="4320"/>
            <w:vAlign w:val="center"/>
          </w:tcPr>
          <w:p>
            <w:pPr>
              <w:spacing w:after="0" w:line="252" w:lineRule="auto"/>
              <w:jc w:val="center"/>
            </w:pPr>
            <w:r/>
            <w:r>
              <w:rPr>
                <w:rFonts w:ascii="Calibri" w:hAnsi="Calibri"/>
                <w:b w:val="0"/>
                <w:sz w:val="17"/>
              </w:rPr>
              <w:t>0.96</w:t>
            </w:r>
          </w:p>
        </w:tc>
      </w:tr>
      <w:tr>
        <w:tc>
          <w:tcPr>
            <w:tcW w:type="dxa" w:w="4464"/>
            <w:vAlign w:val="center"/>
          </w:tcPr>
          <w:p>
            <w:pPr>
              <w:spacing w:after="0" w:line="252" w:lineRule="auto"/>
              <w:jc w:val="left"/>
            </w:pPr>
            <w:r/>
            <w:r>
              <w:rPr>
                <w:rFonts w:ascii="Calibri" w:hAnsi="Calibri"/>
                <w:b w:val="0"/>
                <w:sz w:val="17"/>
              </w:rPr>
              <w:t>Learning rate</w:t>
            </w:r>
          </w:p>
        </w:tc>
        <w:tc>
          <w:tcPr>
            <w:tcW w:type="dxa" w:w="4320"/>
            <w:vAlign w:val="center"/>
          </w:tcPr>
          <w:p>
            <w:pPr>
              <w:spacing w:after="0" w:line="252" w:lineRule="auto"/>
              <w:jc w:val="center"/>
            </w:pPr>
            <w:r/>
            <w:r>
              <w:rPr>
                <w:rFonts w:ascii="Calibri" w:hAnsi="Calibri"/>
                <w:b w:val="0"/>
                <w:sz w:val="17"/>
              </w:rPr>
              <w:t>0.001</w:t>
            </w:r>
          </w:p>
        </w:tc>
      </w:tr>
      <w:tr>
        <w:tc>
          <w:tcPr>
            <w:tcW w:type="dxa" w:w="4464"/>
            <w:vAlign w:val="center"/>
          </w:tcPr>
          <w:p>
            <w:pPr>
              <w:spacing w:after="0" w:line="252" w:lineRule="auto"/>
              <w:jc w:val="left"/>
            </w:pPr>
            <w:r/>
            <w:r>
              <w:rPr>
                <w:rFonts w:ascii="Calibri" w:hAnsi="Calibri"/>
                <w:b w:val="0"/>
                <w:sz w:val="17"/>
              </w:rPr>
              <w:t>Replay buffer</w:t>
            </w:r>
          </w:p>
        </w:tc>
        <w:tc>
          <w:tcPr>
            <w:tcW w:type="dxa" w:w="4320"/>
            <w:vAlign w:val="center"/>
          </w:tcPr>
          <w:p>
            <w:pPr>
              <w:spacing w:after="0" w:line="252" w:lineRule="auto"/>
              <w:jc w:val="center"/>
            </w:pPr>
            <w:r/>
            <w:r>
              <w:rPr>
                <w:rFonts w:ascii="Calibri" w:hAnsi="Calibri"/>
                <w:b w:val="0"/>
                <w:sz w:val="17"/>
              </w:rPr>
              <w:t>20,000 transitions</w:t>
            </w:r>
          </w:p>
        </w:tc>
      </w:tr>
      <w:tr>
        <w:tc>
          <w:tcPr>
            <w:tcW w:type="dxa" w:w="4464"/>
            <w:vAlign w:val="center"/>
          </w:tcPr>
          <w:p>
            <w:pPr>
              <w:spacing w:after="0" w:line="252" w:lineRule="auto"/>
              <w:jc w:val="left"/>
            </w:pPr>
            <w:r/>
            <w:r>
              <w:rPr>
                <w:rFonts w:ascii="Calibri" w:hAnsi="Calibri"/>
                <w:b w:val="0"/>
                <w:sz w:val="17"/>
              </w:rPr>
              <w:t>Evaluation episodes</w:t>
            </w:r>
          </w:p>
        </w:tc>
        <w:tc>
          <w:tcPr>
            <w:tcW w:type="dxa" w:w="4320"/>
            <w:vAlign w:val="center"/>
          </w:tcPr>
          <w:p>
            <w:pPr>
              <w:spacing w:after="0" w:line="252" w:lineRule="auto"/>
              <w:jc w:val="center"/>
            </w:pPr>
            <w:r/>
            <w:r>
              <w:rPr>
                <w:rFonts w:ascii="Calibri" w:hAnsi="Calibri"/>
                <w:b w:val="0"/>
                <w:sz w:val="17"/>
              </w:rPr>
              <w:t>80</w:t>
            </w:r>
          </w:p>
        </w:tc>
      </w:tr>
    </w:tbl>
    <w:p>
      <w:pPr>
        <w:spacing w:after="40"/>
      </w:pPr>
    </w:p>
    <w:sectPr w:rsidR="00FC693F" w:rsidRPr="0006063C" w:rsidSect="00034616">
      <w:headerReference w:type="default" r:id="rId9"/>
      <w:footerReference w:type="default" r:id="rId10"/>
      <w:pgSz w:w="12240" w:h="15840"/>
      <w:pgMar w:top="1080"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Group 19 | Adaptive Traffic Signal Control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95959"/>
        <w:sz w:val="17"/>
      </w:rPr>
      <w:t>SmartFlow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