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lang w:eastAsia="zh-CN"/>
        </w:rPr>
        <w:t>第三次小组讨论</w:t>
      </w:r>
    </w:p>
    <w:p>
      <w:pPr>
        <w:widowControl/>
        <w:ind w:left="0" w:leftChars="0" w:firstLine="420" w:firstLineChars="200"/>
        <w:jc w:val="left"/>
        <w:rPr>
          <w:rFonts w:hint="eastAsia"/>
          <w:lang w:eastAsia="zh-CN"/>
        </w:rPr>
      </w:pPr>
      <w:r>
        <w:rPr>
          <w:rFonts w:hint="eastAsia"/>
          <w:lang w:eastAsia="zh-CN"/>
        </w:rPr>
        <w:t>同组的成员进行线下讨论，进行深度的学习交流，对与老年用户群体，推出适合老年群体的模式。并且各自分工完成自己的任务，提出自己的见解。</w:t>
      </w:r>
    </w:p>
    <w:p>
      <w:pPr>
        <w:widowControl/>
        <w:jc w:val="left"/>
        <w:rPr>
          <w:rFonts w:hint="eastAsia"/>
          <w:lang w:eastAsia="zh-CN"/>
        </w:rPr>
      </w:pPr>
      <w:r>
        <w:rPr>
          <w:rFonts w:hint="eastAsia"/>
        </w:rPr>
        <w:t>老年人群体难以接纳现代化产品。一方面当前存在较多的针对老年人的网络数字诈骗行为，</w:t>
      </w:r>
      <w:r>
        <w:rPr>
          <w:rFonts w:hint="eastAsia"/>
          <w:lang w:eastAsia="zh-CN"/>
        </w:rPr>
        <w:tab/>
      </w:r>
      <w:r>
        <w:rPr>
          <w:rFonts w:hint="eastAsia"/>
        </w:rPr>
        <w:t>导致老年人对数字产品存在一定抵触心理。另一方面，老年人文化知识水平有限，学习适应能力不足，面对信息化产品往往心有余而力不足。数字化技术发展存在盲区。当前技术发展以年轻人为主要受众对象，求新求快，忽视了老年群体的实际需求，市场上缺乏与老年人特性相匹配的电子产品和网络服务软件，将老年人直接拒绝在了数字化门槛之外。</w:t>
      </w:r>
    </w:p>
    <w:p>
      <w:pPr>
        <w:widowControl/>
        <w:jc w:val="left"/>
        <w:rPr>
          <w:rFonts w:hint="eastAsia" w:ascii="仿宋" w:hAnsi="仿宋" w:eastAsia="仿宋" w:cs="仿宋"/>
        </w:rPr>
      </w:pPr>
    </w:p>
    <w:p>
      <w:pPr>
        <w:ind w:firstLine="420" w:firstLineChars="200"/>
        <w:rPr>
          <w:rFonts w:hint="eastAsia"/>
        </w:rPr>
      </w:pPr>
      <w:r>
        <w:rPr>
          <w:rFonts w:hint="eastAsia"/>
        </w:rPr>
        <w:t>Members of the same group held offline discussions, conducted in-depth learning exchanges, and launched a model suitable for the elderly group with the elderly user group. And each divides its own tasks and puts forward its own opinions.</w:t>
      </w:r>
    </w:p>
    <w:p>
      <w:pPr>
        <w:ind w:firstLine="420" w:firstLineChars="200"/>
        <w:rPr>
          <w:rFonts w:hint="eastAsia"/>
        </w:rPr>
      </w:pPr>
    </w:p>
    <w:p>
      <w:pPr>
        <w:ind w:firstLine="420" w:firstLineChars="200"/>
        <w:rPr>
          <w:rFonts w:hint="eastAsia"/>
          <w:lang w:eastAsia="zh-CN"/>
        </w:rPr>
      </w:pPr>
      <w:r>
        <w:rPr>
          <w:rFonts w:hint="eastAsia"/>
        </w:rPr>
        <w:t>It is difficult for the elderly to accept modern products. On the one hand, there are more online digital frauds against the elderly.</w:t>
      </w:r>
      <w:r>
        <w:rPr>
          <w:rFonts w:hint="eastAsia"/>
        </w:rPr>
        <w:tab/>
      </w:r>
      <w:r>
        <w:rPr>
          <w:rFonts w:hint="eastAsia"/>
        </w:rPr>
        <w:t xml:space="preserve"> As a result, the elderly have a certain resistance to digital products. On the other hand, the elderly have limited cultural knowledge level and insufficient learning adaptability. In the face of information products, the</w:t>
      </w:r>
      <w:r>
        <w:rPr>
          <w:rFonts w:hint="eastAsia"/>
          <w:lang w:eastAsia="zh-CN"/>
        </w:rPr>
        <w:t xml:space="preserve"> </w:t>
      </w:r>
      <w:bookmarkStart w:id="0" w:name="_GoBack"/>
      <w:bookmarkEnd w:id="0"/>
      <w:r>
        <w:rPr>
          <w:rFonts w:hint="eastAsia"/>
        </w:rPr>
        <w:t>main audience of technological development is young people, seeking innovation and speed, ignoring the actual needs of the elderly group. The market lacks electronic products and network service software that match the characteristics of the elderly, directly rejecting the elderly from the digital threshold.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 w:name="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2021-11-20T23:11:37Z</dcterms:created>
  <dc:creator>SteveZhang的 iPad </dc:creator>
  <cp:lastModifiedBy>SteveZhang的 iPad </cp:lastModifiedBy>
  <dcterms:modified xsi:type="dcterms:W3CDTF">2021-11-20T23:20:52Z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2052-11.16.1</vt:lpwstr>
  </property>
  <property fmtid="{D5CDD505-2E9C-101B-9397-08002B2CF9AE}" pid="3" name="ICV">
    <vt:lpwstr>698AEB5F5B8CB9E6291099618F3F40B5</vt:lpwstr>
  </property>
</Properties>
</file>