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Division of labor after the third panel discussion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张宇ZhangYu 202100800170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Carry out in-depth user analysis and propose special solutions according to user characteristics.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张牧ZhangMu202100800164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记录小组成员如何一起工作，高效协调完成各自的任务，针对这种情况提出更好的解决方法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陈嘉庆ChenJiaqing202100800085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Responsible for writing specific application functions in the app, realizing the operation of the program, and debugging the distribution program.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王宇龙WangYUlong202100800142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Identify target users, conduct market analysis, and determine the direction of development.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王梦然WangMengran202100800141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Analyze users' needs in depth, do market research, and classify demand characteristics.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2021-11-20T23:22:04Z</dcterms:created>
  <dc:creator>SteveZhang的 iPad </dc:creator>
  <cp:lastModifiedBy>SteveZhang的 iPad </cp:lastModifiedBy>
  <dcterms:modified xsi:type="dcterms:W3CDTF">2021-11-20T23:32:32Z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2052-11.16.1</vt:lpwstr>
  </property>
  <property fmtid="{D5CDD505-2E9C-101B-9397-08002B2CF9AE}" pid="3" name="ICV">
    <vt:lpwstr>FADA4A9717F918429C129961F017D61F</vt:lpwstr>
  </property>
</Properties>
</file>