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44"/>
          <w:szCs w:val="44"/>
        </w:rPr>
        <w:t xml:space="preserve">AI辅助编程的 Token→Code 科学计量体系研究</w:t>
      </w:r>
    </w:p>
    <w:p>
      <w:pPr>
        <w:spacing w:after="240" w:line="384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4894"/>
          <w:sz w:val="26"/>
          <w:szCs w:val="26"/>
        </w:rPr>
        <w:t xml:space="preserve">基于真实编程日志的多维效率建模与行业对标分析</w:t>
      </w:r>
    </w:p>
    <w:p>
      <w:pPr>
        <w:spacing w:after="240" w:line="408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研究者：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泽奥  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地点：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圣荷西，加利福尼亚，美国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报告日期：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2026年5月25日  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数据周期：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2026年4月21日 — 2026年5月15日（约25天）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数据来源：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16个实测AI编程Session（Claude Code / Codex CLI 实际运行日志）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D2B5E"/>
          <w:sz w:val="22"/>
          <w:szCs w:val="22"/>
        </w:rPr>
        <w:t xml:space="preserve">报告类别：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技术研究报告 · Token经济学 · 科学计量</w:t>
      </w:r>
    </w:p>
    <w:p>
      <w:pPr>
        <w:pBdr>
          <w:bottom w:val="single" w:color="1A4894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40"/>
                <w:szCs w:val="40"/>
                <w:shd w:fill="EEF2FA" w:color="auto" w:val="clear"/>
              </w:rPr>
              <w:t xml:space="preserve">299M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  <w:shd w:fill="EEF2FA" w:color="auto" w:val="clear"/>
              </w:rPr>
              <w:t xml:space="preserve">总Token消耗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  <w:shd w:fill="EEF2FA" w:color="auto" w:val="clear"/>
              </w:rPr>
              <w:t xml:space="preserve">16个Session合计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</w:p>
        </w:tc>
        <w:tc>
          <w:tcPr>
            <w:tcW w:type="pct" w:w="27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40"/>
                <w:szCs w:val="40"/>
                <w:shd w:fill="EEF2FA" w:color="auto" w:val="clear"/>
              </w:rPr>
              <w:t xml:space="preserve">20,382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  <w:shd w:fill="EEF2FA" w:color="auto" w:val="clear"/>
              </w:rPr>
              <w:t xml:space="preserve">净产出代码行 (LOC)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  <w:shd w:fill="EEF2FA" w:color="auto" w:val="clear"/>
              </w:rPr>
              <w:t xml:space="preserve">累计总量 23,694 LOC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</w:p>
        </w:tc>
        <w:tc>
          <w:tcPr>
            <w:tcW w:type="pct" w:w="28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40"/>
                <w:szCs w:val="40"/>
                <w:shd w:fill="EEF2FA" w:color="auto" w:val="clear"/>
              </w:rPr>
              <w:t xml:space="preserve">68.17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  <w:shd w:fill="EEF2FA" w:color="auto" w:val="clear"/>
              </w:rPr>
              <w:t xml:space="preserve">加权 TCER (LOC/Mt)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  <w:shd w:fill="EEF2FA" w:color="auto" w:val="clear"/>
              </w:rPr>
              <w:t xml:space="preserve">CV = 33.6%（高方差）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</w:p>
        </w:tc>
        <w:tc>
          <w:tcPr>
            <w:tcW w:type="pct" w:w="23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40"/>
                <w:szCs w:val="40"/>
                <w:shd w:fill="EEF2FA" w:color="auto" w:val="clear"/>
              </w:rPr>
              <w:t xml:space="preserve">$9.21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  <w:shd w:fill="EEF2FA" w:color="auto" w:val="clear"/>
              </w:rPr>
              <w:t xml:space="preserve">每千行净增代码成本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  <w:shd w:fill="EEF2FA" w:color="auto" w:val="clear"/>
              </w:rPr>
              <w:t xml:space="preserve">总支出 $187.69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  <w:shd w:fill="EEF2FA" w:color="auto" w:val="clear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2B5E" w:color="auto" w:val="clear"/>
            <w:tcMar>
              <w:top w:type="dxa" w:w="270"/>
              <w:left w:type="dxa" w:w="330"/>
              <w:bottom w:type="dxa" w:w="270"/>
              <w:right w:type="dxa" w:w="330"/>
            </w:tcMar>
          </w:tcPr>
          <w:p>
            <w:pPr>
              <w:pStyle w:val="Heading2"/>
              <w:spacing w:after="120" w:line="312" w:lineRule="auto"/>
            </w:pPr>
            <w:r>
              <w:rPr>
                <w:color w:val="A8C4F0"/>
              </w:rPr>
              <w:t xml:space="preserve">执行摘要（Executive Summary）</w:t>
            </w:r>
          </w:p>
          <w:p>
            <w:pPr>
              <w:spacing w:after="16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本报告基于泽奥在约25天内积累的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16个真实AI编程Session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 日志（2026年4月21日—5月15日），系统性地构建了一套 Token→Code 科学计量框架。数据显示：总计消耗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299M tokens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，净产出代码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20,382 LOC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（累计代码库总量23,694行），加权平均 TCER=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68.17 LOC/Mt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，每千行代码成本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$9.21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，总支出 $187.69。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核心发现一：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TCER指标方差极高（范围 28.6—113.8 LOC/Mt，CV=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33.6%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），单一TCER无法作为稳定的效率代理指标，必须引入多维体系进行任务类型修正。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核心发现二：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主要影响因素为任务类型（调试/重构 vs 功能开发）、prompt缓存命中率、上下文体量、模型选择。2026.5.13出现极端低效（TCER=28.6, $/kLOC=$28.40），与当日高Token消耗（37.45M）及少量净代码产出（1,072 LOC）高度吻合。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核心发现三：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学术界（OckBench论文，arXiv:2511.05722）已证明相同精度下模型间token效率可相差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5.0倍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；行业工具（TokenLens/aidash/token-stats）提供了跨模型统一监控方案。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0D080"/>
                <w:sz w:val="22"/>
                <w:szCs w:val="22"/>
              </w:rPr>
              <w:t xml:space="preserve">核心提案：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8EEF8"/>
                <w:sz w:val="21"/>
                <w:szCs w:val="21"/>
              </w:rPr>
              <w:t xml:space="preserve">提出五层科学计量框架（原始层→效率层→质量层→经济层→综合层）及 CTEI（复合 Token 效率指数）综合评分体系，将单一TCER提升为信噪比更高的多维指标。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BFD8" w:sz="6"/>
              <w:left w:val="single" w:color="B0BFD8" w:sz="6"/>
              <w:bottom w:val="single" w:color="B0BFD8" w:sz="6"/>
              <w:right w:val="single" w:color="B0BFD8" w:sz="6"/>
            </w:tcBorders>
            <w:shd w:fill="F0F4FC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目　录</w:t>
            </w:r>
          </w:p>
          <w:p>
            <w:pPr>
              <w:spacing w:after="100" w:line="408" w:lineRule="auto"/>
              <w:ind w:left="240"/>
            </w:pPr>
            <w:r>
              <w:t xml:space="preserve">1.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研究背景与问题定义</w:t>
            </w:r>
          </w:p>
          <w:p>
            <w:pPr>
              <w:spacing w:after="100" w:line="408" w:lineRule="auto"/>
              <w:ind w:left="240"/>
            </w:pPr>
            <w:r>
              <w:t xml:space="preserve">2.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用户数据深度解析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2.1 原始指标总览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2.2 按模型对比分析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2.3 低效Session溯因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2.4 价格波动与缓存信号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100" w:line="408" w:lineRule="auto"/>
              <w:ind w:left="240"/>
            </w:pPr>
            <w:r>
              <w:t xml:space="preserve">3.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Token→Code关系的理论边界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3.1 为什么LOC是有缺陷的输出代理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3.2 Token经济学基础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3.3 输入/输出Token比例的隐含结构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100" w:line="408" w:lineRule="auto"/>
              <w:ind w:left="240"/>
            </w:pPr>
            <w:r>
              <w:t xml:space="preserve">4.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缓存机制对计量体系的影响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4.1 三大提供商缓存方案对比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4.2 缓存调整因子（CAF）的引入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4.3 用户数据中的缓存信号推断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100" w:line="408" w:lineRule="auto"/>
              <w:ind w:left="240"/>
            </w:pPr>
            <w:r>
              <w:t xml:space="preserve">5.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开源监控工具生态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5.1 TokenLens  5.2 aidash  5.3 token-stats  5.4 Tokalator论文框架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100" w:line="408" w:lineRule="auto"/>
              <w:ind w:left="240"/>
            </w:pPr>
            <w:r>
              <w:t xml:space="preserve">6.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科学计量框架设计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6.1 五层指标体系  6.2 核心指标定义  6.3 CTEI综合指数  6.4 任务类型权重矩阵  6.5 项目阶段调整系数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100" w:line="408" w:lineRule="auto"/>
              <w:ind w:left="240"/>
            </w:pPr>
            <w:r>
              <w:t xml:space="preserve">7.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跨模型效率对标（5.3-codex vs 5.4）</w:t>
            </w:r>
          </w:p>
          <w:p>
            <w:pPr>
              <w:spacing w:after="100" w:line="408" w:lineRule="auto"/>
              <w:ind w:left="240"/>
            </w:pPr>
            <w:r>
              <w:t xml:space="preserve">8.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行业最佳实践与优化路径</w:t>
            </w:r>
          </w:p>
          <w:p>
            <w:pPr>
              <w:spacing w:after="100" w:line="408" w:lineRule="auto"/>
              <w:ind w:left="240"/>
            </w:pPr>
            <w:r>
              <w:t xml:space="preserve">9.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展望与结论</w:t>
            </w:r>
          </w:p>
          <w:p>
            <w:pPr>
              <w:spacing w:after="100" w:line="408" w:lineRule="auto"/>
              <w:ind w:left="240"/>
            </w:pPr>
            <w:r>
              <w:t xml:space="preserve">10.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参考文献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1. 研究背景与问题定义</w:t>
      </w:r>
    </w:p>
    <w:p>
      <w:pPr>
        <w:pBdr>
          <w:top w:val="single" w:color="1A4894" w:sz="6"/>
        </w:pBd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AI辅助编程已从早期的"行级自动补全"演进为"端到端代码生成代理"。2024—2026年间，Claude Code、Cursor、GitHub Copilot、Codex CLI等工具迅速普及，使得单个开发者每日消耗数十乃至数百M tokens成为常态。与此同时，LLM API的计费模式（按token计费）使得开发者开始自发建立token消耗记录体系——泽奥的16个session日志即为此类实践的典型代表。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在这类自发记录体系中，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TCER（Token-to-Code Efficiency Ratio，每百万token产出净增代码行数，单位 LOC/Mt）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是最直觉、最易获取的效率指标。然而，本报告的核心发现表明：泽奥数据集中TCER的变异系数高达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33.6%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（范围28.6—113.8 LOC/Mt），远超统计学上"稳定代理指标"所要求的CV&lt;15%阈值。这意味着：单纯的TCER无法可靠地指导模型选择、会话策略优化或预算分配决策。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本报告围绕三个核心研究问题展开：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TCER的波动源自何处？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如何在统计上分离任务类型、缓存命中率、上下文体量、模型选择等可控/不可控因素，使效率评估更具可比性？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如何建立多维科学计量体系？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在LOC之外，引入代码质量信号（churn rate、cyclomatic complexity）、经济成本（$/kLOC）和缓存效率（CHR）等维度，构建综合评分指数（CTEI）。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不同模型、缓存策略、项目阶段如何系统性影响这些指标？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通过本数据集（Claude 5.3-codex vs 5.4）的对比分析，量化模型选择对成本和效率的实际影响。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EEF2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研究定位说明</w:t>
            </w:r>
          </w:p>
          <w:p>
            <w:pPr>
              <w:spacing w:after="14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本报告属于基于单用户真实生产数据的探索性分析（n=16），结论具有较强的个案参考价值，但在统计泛化上存在局限（小样本，非随机分层）。所有跨模型对比结论均应结合任务类型分布差异谨慎解读。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2. 用户数据深度解析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2.1 原始指标总览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下表为16个session的完整原始指标，包含日期、模型、累计代码库体量、单日Token消耗及成本、净增代码行、TCER、净代码产出指数（NCPI）和每千行成本（$/kLOC）。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pct" w:w="1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pct" w:w="11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累计LOC</w:t>
            </w:r>
          </w:p>
        </w:tc>
        <w:tc>
          <w:tcPr>
            <w:tcW w:type="pct" w:w="1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Token消耗(M)</w:t>
            </w:r>
          </w:p>
        </w:tc>
        <w:tc>
          <w:tcPr>
            <w:tcW w:type="pct" w:w="11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Token成本($)</w:t>
            </w:r>
          </w:p>
        </w:tc>
        <w:tc>
          <w:tcPr>
            <w:tcW w:type="pct" w:w="1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净增LOC</w:t>
            </w:r>
          </w:p>
        </w:tc>
        <w:tc>
          <w:tcPr>
            <w:tcW w:type="pct" w:w="11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TCER(LOC/Mt)</w:t>
            </w:r>
          </w:p>
        </w:tc>
        <w:tc>
          <w:tcPr>
            <w:tcW w:type="pct" w:w="1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NCPI</w:t>
            </w:r>
          </w:p>
        </w:tc>
        <w:tc>
          <w:tcPr>
            <w:tcW w:type="pct" w:w="1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$/kLOC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4,666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22.70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$9.18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1,354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59.65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0.290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$6.78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5,752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9.78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$4.83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1,086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111.04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0.189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$4.45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2026.4.22-2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6,891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19.21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$12.85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1,139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59.29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0.165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$11.28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7,982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9.59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$4.84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1,091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113.76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0.137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$4.44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8,643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18.83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$7.46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661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35.10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0.076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$11.29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9,844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16.00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$8.78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1,201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75.06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0.122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$7.31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2026.4.28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11,297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17.15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$12.06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1,453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84.72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0.129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$8.30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2026.4.29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12,004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10.06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$7.32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707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70.28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0.059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$10.35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2026.4.30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13,178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19.35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$11.24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1,174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60.67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0.089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$9.57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14,645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18.78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$10.15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1,467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78.12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0.100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$6.92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15,772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13.54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$9.18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1,127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83.23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0.071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$8.15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2026.5.11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17,950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27.82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$21.75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2,178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78.29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0.121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$9.99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2026.5.12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19,979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22.37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$13.35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2,029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90.70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0.102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$6.58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2026.5.13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21,051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37.45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$30.45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1,072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84040"/>
                <w:sz w:val="22"/>
                <w:szCs w:val="22"/>
              </w:rPr>
              <w:t xml:space="preserve">28.62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0.051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84040"/>
                <w:sz w:val="22"/>
                <w:szCs w:val="22"/>
              </w:rPr>
              <w:t xml:space="preserve">$28.40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2026.5.14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21,414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8.95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$6.05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363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40.56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0.017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$16.67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2026.5.15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23,694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27.42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$18.20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2,280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83.15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0.096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$7.98</w:t>
            </w:r>
          </w:p>
        </w:tc>
      </w:tr>
      <w:tr>
        <w:trPr>
          <w:tblHeader w:val="false"/>
        </w:trPr>
        <w:tc>
          <w:tcPr>
            <w:tcW w:type="pct" w:w="13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合计 / 均值</w:t>
            </w:r>
          </w:p>
        </w:tc>
        <w:tc>
          <w:tcPr>
            <w:tcW w:type="pct" w:w="12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1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0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299.00M</w:t>
            </w:r>
          </w:p>
        </w:tc>
        <w:tc>
          <w:tcPr>
            <w:tcW w:type="pct" w:w="11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$187.69</w:t>
            </w:r>
          </w:p>
        </w:tc>
        <w:tc>
          <w:tcPr>
            <w:tcW w:type="pct" w:w="10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20,382</w:t>
            </w:r>
          </w:p>
        </w:tc>
        <w:tc>
          <w:tcPr>
            <w:tcW w:type="pct" w:w="11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72.02 (均值)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68.17 (加权)</w:t>
            </w:r>
          </w:p>
        </w:tc>
        <w:tc>
          <w:tcPr>
            <w:tcW w:type="pct" w:w="10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0.101</w:t>
            </w:r>
          </w:p>
        </w:tc>
        <w:tc>
          <w:tcPr>
            <w:tcW w:type="pct" w:w="12%"/>
            <w:shd w:fill="D0DA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$9.21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说明：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•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NCPI（Net Code Production Index）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= 当日净增LOC / 累计总LOC，衡量单次session对代码库的"贡献密度"，项目成熟后自然趋近于0。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•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$/kLOC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= 每千行净增代码成本（Token成本 / 净增LOC × 1000）。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• 加权TCER以Token消耗量为权重：68.17 LOC/Mt；简单算术均值：72.02 LOC/Mt；中位数：76.59 LOC/Mt；标准差：24.21；CV=33.6%。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• Token消耗与净增LOC的皮尔逊相关系数 r=0.55（中等正相关），说明"消耗更多tokens大致产出更多代码"，但关系远非线性。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BFD8" w:sz="6"/>
              <w:left w:val="single" w:color="B0BFD8" w:sz="6"/>
              <w:bottom w:val="single" w:color="B0BFD8" w:sz="6"/>
              <w:right w:val="single" w:color="B0BFD8" w:sz="6"/>
            </w:tcBorders>
            <w:shd w:fill="FAFBFF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图1：16个Session的TCER趋势分布</w:t>
            </w: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666666"/>
                <w:sz w:val="18"/>
                <w:szCs w:val="18"/>
              </w:rPr>
              <w:t xml:space="preserve">x轴 = Session编号（按时间排序），y轴 = TCER（LOC/Mt），红色虚线 = 加权均值 68.17</w:t>
            </w:r>
          </w:p>
          <w:p>
            <w:pPr>
              <w:spacing w:after="120" w:line="408" w:lineRule="auto"/>
            </w:pPr>
            <w:r>
              <w:t xml:space="preserve">Session（日期/模型）</w:t>
            </w:r>
          </w:p>
          <w:p>
            <w:pPr>
              <w:spacing w:after="120" w:line="408" w:lineRule="auto"/>
            </w:pPr>
            <w:r>
              <w:t xml:space="preserve">TCER 可视化（LOC/Mt）</w:t>
            </w:r>
          </w:p>
          <w:p>
            <w:pPr>
              <w:spacing w:after="120" w:line="408" w:lineRule="auto"/>
            </w:pPr>
            <w:r>
              <w:t xml:space="preserve">值</w:t>
            </w:r>
          </w:p>
          <w:p>
            <w:pPr>
              <w:spacing w:after="120" w:line="408" w:lineRule="auto"/>
            </w:pPr>
            <w:r>
              <w:t xml:space="preserve">4.21 / 5.3-codex</w:t>
            </w:r>
          </w:p>
          <w:p>
            <w:pPr>
              <w:spacing w:after="120" w:line="408" w:lineRule="auto"/>
            </w:pPr>
            <w:r>
              <w:t xml:space="preserve">59.65</w:t>
            </w:r>
          </w:p>
          <w:p>
            <w:pPr>
              <w:spacing w:after="120" w:line="408" w:lineRule="auto"/>
            </w:pPr>
            <w:r>
              <w:t xml:space="preserve">4.22 / 5.3-codex</w:t>
            </w:r>
          </w:p>
          <w:p>
            <w:pPr>
              <w:spacing w:after="120" w:line="408" w:lineRule="auto"/>
            </w:pPr>
            <w:r>
              <w:t xml:space="preserve">111.04</w:t>
            </w:r>
          </w:p>
          <w:p>
            <w:pPr>
              <w:spacing w:after="120" w:line="408" w:lineRule="auto"/>
            </w:pPr>
            <w:r>
              <w:t xml:space="preserve">4.22-2 / 5.4</w:t>
            </w:r>
          </w:p>
          <w:p>
            <w:pPr>
              <w:spacing w:after="120" w:line="408" w:lineRule="auto"/>
            </w:pPr>
            <w:r>
              <w:t xml:space="preserve">59.29</w:t>
            </w:r>
          </w:p>
          <w:p>
            <w:pPr>
              <w:spacing w:after="120" w:line="408" w:lineRule="auto"/>
            </w:pPr>
            <w:r>
              <w:t xml:space="preserve">4.23 / 5.4</w:t>
            </w:r>
          </w:p>
          <w:p>
            <w:pPr>
              <w:spacing w:after="120" w:line="408" w:lineRule="auto"/>
            </w:pPr>
            <w:r>
              <w:t xml:space="preserve">113.76</w:t>
            </w:r>
          </w:p>
          <w:p>
            <w:pPr>
              <w:spacing w:after="120" w:line="408" w:lineRule="auto"/>
            </w:pPr>
            <w:r>
              <w:t xml:space="preserve">4.24 / 5.4</w:t>
            </w:r>
          </w:p>
          <w:p>
            <w:pPr>
              <w:spacing w:after="120" w:line="408" w:lineRule="auto"/>
            </w:pPr>
            <w:r>
              <w:t xml:space="preserve">35.10</w:t>
            </w:r>
          </w:p>
          <w:p>
            <w:pPr>
              <w:spacing w:after="120" w:line="408" w:lineRule="auto"/>
            </w:pPr>
            <w:r>
              <w:t xml:space="preserve">4.27 / 5.3-codex</w:t>
            </w:r>
          </w:p>
          <w:p>
            <w:pPr>
              <w:spacing w:after="120" w:line="408" w:lineRule="auto"/>
            </w:pPr>
            <w:r>
              <w:t xml:space="preserve">75.06</w:t>
            </w:r>
          </w:p>
          <w:p>
            <w:pPr>
              <w:spacing w:after="120" w:line="408" w:lineRule="auto"/>
            </w:pPr>
            <w:r>
              <w:t xml:space="preserve">4.28 / 5.4</w:t>
            </w:r>
          </w:p>
          <w:p>
            <w:pPr>
              <w:spacing w:after="120" w:line="408" w:lineRule="auto"/>
            </w:pPr>
            <w:r>
              <w:t xml:space="preserve">84.72</w:t>
            </w:r>
          </w:p>
          <w:p>
            <w:pPr>
              <w:spacing w:after="120" w:line="408" w:lineRule="auto"/>
            </w:pPr>
            <w:r>
              <w:t xml:space="preserve">4.29 / 5.4</w:t>
            </w:r>
          </w:p>
          <w:p>
            <w:pPr>
              <w:spacing w:after="120" w:line="408" w:lineRule="auto"/>
            </w:pPr>
            <w:r>
              <w:t xml:space="preserve">70.28</w:t>
            </w:r>
          </w:p>
          <w:p>
            <w:pPr>
              <w:spacing w:after="120" w:line="408" w:lineRule="auto"/>
            </w:pPr>
            <w:r>
              <w:t xml:space="preserve">4.30 / 5.4</w:t>
            </w:r>
          </w:p>
          <w:p>
            <w:pPr>
              <w:spacing w:after="120" w:line="408" w:lineRule="auto"/>
            </w:pPr>
            <w:r>
              <w:t xml:space="preserve">60.67</w:t>
            </w:r>
          </w:p>
          <w:p>
            <w:pPr>
              <w:spacing w:after="120" w:line="408" w:lineRule="auto"/>
            </w:pPr>
            <w:r>
              <w:t xml:space="preserve">5.2 / 5.4</w:t>
            </w:r>
          </w:p>
          <w:p>
            <w:pPr>
              <w:spacing w:after="120" w:line="408" w:lineRule="auto"/>
            </w:pPr>
            <w:r>
              <w:t xml:space="preserve">78.12</w:t>
            </w:r>
          </w:p>
          <w:p>
            <w:pPr>
              <w:spacing w:after="120" w:line="408" w:lineRule="auto"/>
            </w:pPr>
            <w:r>
              <w:t xml:space="preserve">5.3 / 5.4</w:t>
            </w:r>
          </w:p>
          <w:p>
            <w:pPr>
              <w:spacing w:after="120" w:line="408" w:lineRule="auto"/>
            </w:pPr>
            <w:r>
              <w:t xml:space="preserve">83.23</w:t>
            </w:r>
          </w:p>
          <w:p>
            <w:pPr>
              <w:spacing w:after="120" w:line="408" w:lineRule="auto"/>
            </w:pPr>
            <w:r>
              <w:t xml:space="preserve">5.11 / 5.4</w:t>
            </w:r>
          </w:p>
          <w:p>
            <w:pPr>
              <w:spacing w:after="120" w:line="408" w:lineRule="auto"/>
            </w:pPr>
            <w:r>
              <w:t xml:space="preserve">78.29</w:t>
            </w:r>
          </w:p>
          <w:p>
            <w:pPr>
              <w:spacing w:after="120" w:line="408" w:lineRule="auto"/>
            </w:pPr>
            <w:r>
              <w:t xml:space="preserve">5.12 / 5.4</w:t>
            </w:r>
          </w:p>
          <w:p>
            <w:pPr>
              <w:spacing w:after="120" w:line="408" w:lineRule="auto"/>
            </w:pPr>
            <w:r>
              <w:t xml:space="preserve">90.70</w:t>
            </w:r>
          </w:p>
          <w:p>
            <w:pPr>
              <w:spacing w:after="120" w:line="408" w:lineRule="auto"/>
            </w:pPr>
            <w:r>
              <w:t xml:space="preserve">5.13 / 5.4 ⚠</w:t>
            </w:r>
          </w:p>
          <w:p>
            <w:pPr>
              <w:spacing w:after="120" w:line="408" w:lineRule="auto"/>
            </w:pPr>
            <w:r>
              <w:t xml:space="preserve">28.62</w:t>
            </w:r>
          </w:p>
          <w:p>
            <w:pPr>
              <w:spacing w:after="120" w:line="408" w:lineRule="auto"/>
            </w:pPr>
            <w:r>
              <w:t xml:space="preserve">5.14 / 5.4</w:t>
            </w:r>
          </w:p>
          <w:p>
            <w:pPr>
              <w:spacing w:after="120" w:line="408" w:lineRule="auto"/>
            </w:pPr>
            <w:r>
              <w:t xml:space="preserve">40.56</w:t>
            </w:r>
          </w:p>
          <w:p>
            <w:pPr>
              <w:spacing w:after="120" w:line="408" w:lineRule="auto"/>
            </w:pPr>
            <w:r>
              <w:t xml:space="preserve">5.15 / 5.4</w:t>
            </w:r>
          </w:p>
          <w:p>
            <w:pPr>
              <w:spacing w:after="120" w:line="408" w:lineRule="auto"/>
            </w:pPr>
            <w:r>
              <w:t xml:space="preserve">83.15</w:t>
            </w:r>
          </w:p>
          <w:p>
            <w:pPr>
              <w:spacing w:after="120" w:line="408" w:lineRule="auto"/>
            </w:pPr>
            <w:r>
              <w:t xml:space="preserve">加权均值 68.17</w:t>
            </w:r>
          </w:p>
          <w:p>
            <w:pPr>
              <w:spacing w:after="120" w:line="408" w:lineRule="auto"/>
            </w:pPr>
            <w:r>
              <w:t xml:space="preserve">68.17 ←</w:t>
            </w:r>
          </w:p>
          <w:p>
            <w:pPr>
              <w:spacing w:after="140" w:line="384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■ 蓝色 = 正常  ■ 绿色 = 高效（TCER &gt; 100） ■ 橙色 = 低效（TCER &lt; 50） ■ 红色 = 极端低效（TCER &lt; 30） | 条形宽度按 TCER/124 比例缩放（124 = 最大值参考）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2.2 按模型对比分析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pct" w:w="15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Claude 5.3-codex</w:t>
            </w:r>
          </w:p>
        </w:tc>
        <w:tc>
          <w:tcPr>
            <w:tcW w:type="pct" w:w="16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Claude 5.4</w:t>
            </w:r>
          </w:p>
        </w:tc>
        <w:tc>
          <w:tcPr>
            <w:tcW w:type="pct" w:w="41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差值 / 说明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Session数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样本不均衡，需谨慎比较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加权TCER (LOC/Mt)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75.10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66.83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 高 +12.4%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算术平均日TCER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81.92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69.73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 高 +17.5%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总Token成本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$22.79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$164.90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 多 6.2×（Session数多4.3×）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$/kLOC（千行成本）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$6.26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$9.85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 低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36.4%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平均$/Mt（每M token成本）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$0.482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$0.641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5.3-codex 低 24.8%（可能含定价差异）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含极端低效日的5.4 $/kLOC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$9.85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剔除5.13、5.14后降至 $8.09（差距收窄至29%）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分析要点：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5.3-codex 在 TCER 和成本效率上均优于 5.4（加权 TCER 高 12.4%，$/kLOC 低 36.4%）。然而，样本量严重不均衡（3 vs 13 sessions），且 5.3-codex 的 sessions 集中在项目早期（代码库体量 4,666—9,844 LOC），彼时新功能开发比例较高、重构调试比例较低。5.4 包含了两个极端低效日（5.13、5.14），拉低了整体均值。在不控制任务类型的情况下，这一对比不能作为"5.3-codex 本质上比 5.4 更高效"的定论——这正是引入科学计量框架的根本动机。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2.3 低效Session溯因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本节对三个 TCER&lt;50 的极端低效 session 进行深度溯因分析。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FDF0F0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B84040"/>
              </w:rPr>
              <w:t xml:space="preserve">⚠ 2026.5.13 — 全程最极端低效日（TCER=28.62，$/kLOC=$28.40）</w:t>
            </w:r>
          </w:p>
          <w:p>
            <w:pPr>
              <w:spacing w:after="14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消耗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37.45M tokens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（全程最高，占总消耗12.5%），净增 LOC 仅 1,072，$/kLOC=$28.40（均值的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3.08 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）。$/Mt=$0.813（全程最高）暗示缓存命中率趋近于零，以及大量高价输出 token（可能为调试推理链、反复重试、或架构讨论）。NCPI=0.051 表明代码变化相对代码库体量可忽略。最可能的根因：在约21,000 LOC 规模的代码库中进行大型 bug 排查，需要多轮上下文注入与模型重复调用，触发缓存失效；或进行代价极高的架构性重构讨论（tokens 大量用于分析，而非生成）。CTEI=0.055，全程倒数第二差。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FDF0F0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B84040"/>
              </w:rPr>
              <w:t xml:space="preserve">⚠ 2026.5.14 — 5.13 收尾日（TCER=40.56，$/kLOC=$16.67）</w:t>
            </w:r>
          </w:p>
          <w:p>
            <w:pPr>
              <w:spacing w:after="14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紧跟 5.13 之后，净增 LOC 仅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363 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（全程最少），成本 $6.05，$/kLOC=$16.67（均值的1.81倍）。NCPI=0.017 表明这天的代码变更量相对整个代码库几乎可忽略。可能的解释：5.13 的大型重构已完成主体工作，5.14 是收尾/清理session——以极少代码变动换取结构稳定性。这是一种"必要的低效"，不应与真正的效率失败混同，但依然拉低了整体成本效率。CTEI=0.044，全程最差。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EEF2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注意 2026.4.24 — 早期架构调整日（TCER=35.10，$/kLOC=$11.29）</w:t>
            </w:r>
          </w:p>
          <w:p>
            <w:pPr>
              <w:spacing w:after="14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消耗 18.83M tokens，净增 LOC 仅 661。低 NCPI=0.076 表明在约8,600 LOC 的代码库中，当日改动相对微小——典型的架构调整/重构 session 特征。这是项目从早期快速积累期进入结构性整理期的分界点，正常的周期性低效，而非运营失误。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2.4 价格波动与缓存信号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$/Mt（每百万token实付成本）是隐含的缓存健康代理指标。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5.4 模型 $/Mt 范围：$0.396（5.2.2 session）—$0.813（5.13），CV=18.0%，波动显著。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低$/Mt（$0.40—$0.55）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：通常意味着较高的缓存命中率（读取token价格仅为写入的10%），或该session以简短prompt+相对长输出为主（输出token单价虽高但总量较小）。推算cache命中率可达30—50%。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高$/Mt（$0.75—$0.81）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：几乎没有缓存命中，或session以大量长prompt为主（需重新计算大量input tokens）。接近零缓存命中状态。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根据 Anthropic 公开定价（Claude：input $3/MTok，output $15/MTok，cache read $0.30/MTok，cache write $3.75/MTok），若 $/Mt=$0.40 且 output 约占15%，推算 cache read 命中率可达30—50%；若 $/Mt=$0.81 则接近零缓存命中。5.3-codex 的平均 $/Mt=$0.482，明显低于5.4的$0.641（低25%），暗示其缓存利用率更高——可能因早期项目上下文前缀更稳定、重复使用率更高。</w:t>
      </w: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3. Token→Code关系的理论边界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3.1 为什么LOC是有缺陷的输出代理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代码行数（LOC）作为软件生产力指标的局限性在软件工程学界早有共识。针对AI生成代码的研究进一步揭示了其特殊缺陷。Pragmatic AI Labs 对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44.97M LOC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的大规模分析（跨 Windows Server、Linux、Python 开源项目）显示，AI生成代码的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代码流失率（code churn）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指标与"流氓开发者"（rogue developer，即绕过审查流程的高风险提交者）的统计特征高度相关（r=0.92）。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AI代码的典型统计特征包括：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高burst式产出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：单次提交大量代码，而非渐进式积累；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高churn率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：频繁覆盖或重写已有代码，LOC delta可能虚高；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段落级别不一致性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：不同prompt产出的代码风格、命名规范可能不一致；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架构边界处的缺陷集中率高达62%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：模块接口、API边界处的AI生成缺陷远高于内部实现。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因此，单纯的 delta LOC 计量存在以下结构性缺陷：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缺陷类型</w:t>
            </w:r>
          </w:p>
        </w:tc>
        <w:tc>
          <w:tcPr>
            <w:tcW w:type="pct" w:w="53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具体表现</w:t>
            </w:r>
          </w:p>
        </w:tc>
        <w:tc>
          <w:tcPr>
            <w:tcW w:type="pct" w:w="2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影响方向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不区分净新增与重写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重构产生大量LOC变化，但不代表新功能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高估重构日效率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不计代码质量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低质量代码可快速产出大量LOC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高估低质量产出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语言相关性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 1 LOC ≈ Java 2—4 LOC 信息密度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跨语言比较失真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不计测试代码差异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高质量开发往往测试/功能代码比≥1:1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忽略测试工作量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不计对话overhead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大量tokens用于上下文注入，非直接产出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低估TCER实际价值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3.2 Token经济学基础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一个token约等价于4个英文字符，或0.75个英文单词。对于代码，语言特性差异显著影响token密度：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语言类型</w:t>
            </w:r>
          </w:p>
        </w:tc>
        <w:tc>
          <w:tcPr>
            <w:tcW w:type="pct" w:w="26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每LOC平均Output Tokens</w:t>
            </w:r>
          </w:p>
        </w:tc>
        <w:tc>
          <w:tcPr>
            <w:tcW w:type="pct" w:w="4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理论TCER上限（纯输出）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Python（简洁）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5—8 tokens/LOC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125,000—200,000 LOC/Mt output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JavaScript/TypeScript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8—12 tokens/LOC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83,000—125,000 LOC/Mt output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Java/C++（冗长）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10—20 tokens/LOC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50,000—100,000 LOC/Mt output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综合加权平均估算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~8 tokens/LOC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~125,000 LOC/Mt output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然而，在真实的对话式编程场景中，input tokens 通常占总 tokens 的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70—85%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，这意味着基于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tokens 的 TCER 理论上限约为：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TCER_max = 125,000 LOC/Mt_output × (1 − input_ratio)
         = 125,000 × 0.15 ~ 125,000 × 0.30
         = 18,750 ~ 37,500 LOC/Mt_total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用户数据中 TCER 均值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68.17 LOC/Mt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远超此理论上限（18,750—37,500）？这一悖论的解释在于：NCPI 相对较高（项目有效生产期）、且本数据集聚焦于净增代码而非所有变更行数，部分 session 的 output token 比例高于典型值（功能开发为主）。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这不是效率奇迹，而是提示 output 比例在高效 session 中可能高于行业平均水平。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3.3 输入/输出Token比例的隐含结构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典型 AI 编程 session 的 token 分布（基于行业参考数据，Tokalator 论文框架）：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1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Token用途类别</w:t>
            </w:r>
          </w:p>
        </w:tc>
        <w:tc>
          <w:tcPr>
            <w:tcW w:type="pct" w:w="16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典型占比</w:t>
            </w:r>
          </w:p>
        </w:tc>
        <w:tc>
          <w:tcPr>
            <w:tcW w:type="pct" w:w="43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prompt / 代码库上下文注入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30—50%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文件内容、项目规范、工具描述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对话历史（多轮积累）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20—40%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随会话轮次线性增长（O(T²)全历史策略）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直接输出（代码生成）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15—25%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实际产出代码的output tokens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 calls / 推理链（CoT）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5—20%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Reasoning model（如5.4）比例更高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基于此结构，每1M总tokens中，实际用于代码产出的 output tokens 约为 150,000—250,000。以8 tokens/LOC 估算，理论产出 18,750—31,250 LOC/Mt。用户加权均值 TCER=68.17 LOC/Mt 实际上暗示 output token 占比约为：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output_ratio_implied = TCER × tokens_per_LOC / 1,000,000
                     = 68.17 × 8 / 1,000,000
                     ≈ 0.0545%（约5.45万output tokens/M total tokens）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这反映了 input token 的绝对主导性——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对话税（conversational overhead）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是AI编程场景中 token 消耗的结构性常量，而非低效的表现。</w:t>
      </w: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4. 缓存机制对计量体系的影响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4.1 三大提供商缓存方案对比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特性</w:t>
            </w:r>
          </w:p>
        </w:tc>
        <w:tc>
          <w:tcPr>
            <w:tcW w:type="pct" w:w="37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Anthropic（Claude）</w:t>
            </w:r>
          </w:p>
        </w:tc>
        <w:tc>
          <w:tcPr>
            <w:tcW w:type="pct" w:w="28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OpenAI（GPT/Codex）</w:t>
            </w:r>
          </w:p>
        </w:tc>
        <w:tc>
          <w:tcPr>
            <w:tcW w:type="pct" w:w="19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Google（Gemini）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激活方式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手动显式 / 自动（按模型）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自动（≥1,024 tokens 自动触发）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隐式自动 / 显式手动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读取折扣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（读价=写价的10%）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50%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（隐式）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写入溢价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+25%（5min TTL）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+100%（1h TTL）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无溢价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无溢价（隐式）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显式按小时收存储费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最小缓存长度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1,024—4,096 tokens（按模型）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1,024 tokens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未公开（隐式）；32,768（显式）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TTL（有效时长）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5分钟 / 1小时（可配置）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5—10分钟（非活跃）；最长1小时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1小时默认（显式）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缓存共享范围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Workspace隔离（2026年2月起）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组织级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未公开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监控字段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cache_read_input_tokens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cache_creation_input_tokens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prompt_tokens_details.cached_tokens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命中元数据（部分公开）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Break-even复用次数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2—3次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（需回收写入溢价）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立即生效（无写入溢价）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取决于存储费与命中率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根据跨提供商评估研究（500+ agent sessions，10,000 token 系统提示）：prompt caching 可将 API 成本降低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41—80%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，首字节时延（TTFT）改善 13—31%。其中 GPT-5.2 节省 79—81%，Claude Sonnet 4.5 节省 78—79%，Gemini 2.5 Pro 节省 28—41%。Anthropic 缓存在 10 次复用后节省约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76%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（Tokalator 论文计算结论），但须注意写入溢价使盈亏平衡点推迟至第 2—3 次复用。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4.2 缓存调整因子（CAF）的引入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为了实现跨 session、跨模型的公平效率对比，必须将实际 token 消耗还原为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无缓存等效消耗（Effective Token Consumption，ETC）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ETC = T_input_uncached × P_input
    + T_cache_write  × P_write
    + T_cache_read   × P_read
    + T_output       × P_output
CAF（缓存调整因子） = 实际Token成本 / ETC（无缓存等效成本）
CAF ∈ [0.10, 1.00]
  → 0.10：极高缓存命中（接近90%折扣上限）
  → 1.00：零缓存命中，全部重新计算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用户数据中 $/Mt 的波动（$0.396—$0.813，CV=18%）实际上就是 CAF 的外在表现。引入 CAF 后，可定义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CAF调整TCER（TCER_adj）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，消除缓存策略差异对效率比较的影响：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TCER_adj = ΔNetLOC / (Cost_session / P_input_standard)
其中 P_input_standard 为模型标准无缓存input单价，使所有session归一化到相同计费基准。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4.3 用户数据中的缓存信号推断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由于用户原始数据缺乏逐字段的 input/output token 分解，本报告通过 $/Mt 异常值进行间接推断：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高效缓存信号日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（$/Mt ≤ $0.50）：2026.4.22（5.3-codex，$0.494）、2026.4.23（$0.505）、2026.5.2（$0.540）——这些日期的低单价暗示缓存命中率可能达 30—50%，是 TCER 相对高效的部分原因。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缓存失效信号日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（$/Mt ≥ $0.75）：2026.5.11（$0.782）、2026.5.13（$0.813）——高消耗日缓存几乎失效，可能由于对话历史快速增长导致上下文前缀频繁变化，触发缓存 miss。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5.3-codex 的结构性优势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：平均 $/Mt=$0.482，比5.4低24.8%。原因可能是：（1）5.3-codex 定价结构本身更优；（2）早期项目的上下文前缀（文件结构、框架规范）更稳定，缓存复用率更高；（3）早期 session 中 prompt 长度相对较短，缓存写入溢价影响较小。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EDF7E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2A7A3B"/>
              </w:rPr>
              <w:t xml:space="preserve">✓ 关键洞察：缓存健康监控是降低 $/kLOC 的第一杠杆</w:t>
            </w:r>
          </w:p>
          <w:p>
            <w:pPr>
              <w:spacing w:after="140" w:line="38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基于上述分析，将 CHR（缓存命中率）从约20%提升至50%，可将 5.4 模型的 $/Mt 从 $0.641 降低至约 $0.450，对应 $/kLOC 从 $9.85 降低至约 $6.92——接近 5.3-codex 的当前水平（$6.26），完全不需要切换模型。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5. 开源监控工具生态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5.1 TokenLens（gitstq/TokenLens）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定位：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零依赖 Python 工具，面向多工具整合场景的 AI 编码成本智能分析引擎。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核心能力：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支持自动扫描 18+ 款 AI 编码工具的会话数据（Claude Code、Codex CLI、Cursor、Windsurf、GitHub Copilot、Gemini CLI、Cline、Aider 等），内置 35+ 款模型定价数据（含缓存定价）。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分析维度：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按工具 / 模型 / 项目 / 任务类型多维分析；成本优化建议；月度预算管理与自动告警；四种输出格式（HTML / JSON / Markdown / 终端表格）。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对本报告的价值：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TokenLens 可直接产出 TCER、$/kLOC 等本报告核心指标，并可将泽奥的手工记录转化为自动化仪表盘。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许可证：MIT。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5.2 aidash（nasundar/aidash）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定位：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Rust 编写的终端实时仪表盘，专注 GitHub Copilot CLI 和 Claude Code 的深度运行时分析。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核心指标：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Output vs Input ratio 可视化（与本报告 I/O Ratio 指标直接对应）、每轮次 token 曲线图、代码变更行数（新增/删除/修改文件）、实时 tokens/min 速率、30天趋势分析。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特别价值：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aidash 明确追踪 Output vs Input ratio，这正是本报告 §3.3 讨论的 token 结构隐含信息。由于 Copilot 不暴露精确 input tokens，工具使用 4字符/token 估算规则进行近似计算。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许可证：MIT。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5.3 token-stats（clawlabz/token-stats）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定位：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Claude Code 专用的 slash 命令扩展，最轻量的缓存监控方案。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核心指标：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直接计算并输出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CacheHit% = cache_read / TotalInput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，即本报告定义的 CHR 指标。用户可在每个 session 结束后立即执行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/token-stats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，获得缓存命中率的精确值，验证本报告通过 $/Mt 推断的缓存信号是否准确。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对泽奥的即时价值：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这是可以在24小时内部署的最低摩擦力工具，用于验证"5.13 是否确为缓存失效导致高成本"的假设。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许可证：MIT。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5.4 Tokalator（arXiv论文框架）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定位：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学术级 Context Engineering 工具包，提供 9 个专项计算器。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关键计算器：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缓存 ROI 计算器：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盈亏平衡分析。结论：Anthropic 缓存盈亏平衡点≈2—3次复用，10次复用后节省76%；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上下文优化器：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可视化 context window 分配（系统prompt / 历史 / 当前query 的最优比例）；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多轮对话成本估算器：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三种策略对比——全历史（O(T²) 成本）、滑动窗口（O(T) 成本）、摘要策略（近似 O(1) 成本增长）；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成本计算器：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含 Cobb-Douglas 质量建模（将代码质量因子引入成本效益分析）。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Tokalator 的多轮对话分析直接解释了为何超长 session（如 5.13 的37.45M tokens）会触发缓存失效：全历史策略下，对话成本以 O(T²) 增长，且上下文前缀随历史积累而变化，导致缓存持续失效（cache miss）。</w:t>
      </w: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6. 科学计量框架设计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6.1 五层指标体系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BFD8" w:sz="6"/>
              <w:left w:val="single" w:color="B0BFD8" w:sz="6"/>
              <w:bottom w:val="single" w:color="B0BFD8" w:sz="6"/>
              <w:right w:val="single" w:color="B0BFD8" w:sz="6"/>
            </w:tcBorders>
            <w:shd w:fill="FAFBFF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图3：五层Token→Code科学计量体系架构</w:t>
            </w:r>
          </w:p>
          <w:p>
            <w:pPr>
              <w:spacing w:after="0" w:before="240"/>
            </w:pPr>
          </w:p>
          <w:tbl>
            <w:tblPr>
              <w:tblW w:type="pct" w:w="100%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nil" w:color="FFFFFF" w:sz="0"/>
                <w:insideV w:val="nil" w:color="FFFFFF" w:sz="0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D2B5E" w:sz="6"/>
                    <w:left w:val="single" w:color="0D2B5E" w:sz="6"/>
                    <w:bottom w:val="single" w:color="0D2B5E" w:sz="6"/>
                    <w:right w:val="single" w:color="0D2B5E" w:sz="6"/>
                  </w:tcBorders>
                  <w:shd w:fill="D0DAF0" w:color="auto" w:val="clear"/>
                  <w:tcMar>
                    <w:top w:type="dxa" w:w="360"/>
                    <w:left w:type="dxa" w:w="504"/>
                    <w:bottom w:type="dxa" w:w="360"/>
                    <w:right w:type="dxa" w:w="504"/>
                  </w:tcMar>
                </w:tcPr>
                <w:p>
                  <w:pPr>
                    <w:spacing w:after="120" w:line="408" w:lineRule="auto"/>
                  </w:pPr>
                  <w:r>
                    <w:rPr>
                      <w:b/>
                      <w:bCs/>
                      <w:i w:val="false"/>
                      <w:iCs w:val="false"/>
                      <w:color w:val="0D2B5E"/>
                    </w:rPr>
                    <w:t xml:space="preserve">L1 — 原始层（Raw Layer）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333333"/>
                      <w:sz w:val="18"/>
                      <w:szCs w:val="18"/>
                    </w:rPr>
                    <w:t xml:space="preserve">T_input  |  T_output  |  T_cache_read  |  T_cache_write  |  Cost_actual  |  ΔNetLOC  |  Session_Duration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D2B5E"/>
                      <w:sz w:val="18"/>
                      <w:szCs w:val="18"/>
                    </w:rPr>
                    <w:t xml:space="preserve">数据来源：API响应原始字段、IDE插件日志、git diff统计。所有上层指标的原始输入，不作任何处理。</w:t>
                  </w:r>
                </w:p>
              </w:tc>
            </w:tr>
          </w:tbl>
          <w:p>
            <w:pPr>
              <w:spacing w:after="240" w:before="0"/>
            </w:pP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4894"/>
                <w:sz w:val="28"/>
                <w:szCs w:val="28"/>
              </w:rPr>
              <w:t xml:space="preserve">↓</w:t>
            </w:r>
          </w:p>
          <w:p>
            <w:pPr>
              <w:spacing w:after="0" w:before="240"/>
            </w:pPr>
          </w:p>
          <w:tbl>
            <w:tblPr>
              <w:tblW w:type="pct" w:w="100%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nil" w:color="FFFFFF" w:sz="0"/>
                <w:insideV w:val="nil" w:color="FFFFFF" w:sz="0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1A4894" w:sz="6"/>
                    <w:left w:val="single" w:color="1A4894" w:sz="6"/>
                    <w:bottom w:val="single" w:color="1A4894" w:sz="6"/>
                    <w:right w:val="single" w:color="1A4894" w:sz="6"/>
                  </w:tcBorders>
                  <w:shd w:fill="DCE7F5" w:color="auto" w:val="clear"/>
                  <w:tcMar>
                    <w:top w:type="dxa" w:w="360"/>
                    <w:left w:type="dxa" w:w="504"/>
                    <w:bottom w:type="dxa" w:w="360"/>
                    <w:right w:type="dxa" w:w="504"/>
                  </w:tcMar>
                </w:tcPr>
                <w:p>
                  <w:pPr>
                    <w:spacing w:after="120" w:line="408" w:lineRule="auto"/>
                  </w:pPr>
                  <w:r>
                    <w:rPr>
                      <w:b/>
                      <w:bCs/>
                      <w:i w:val="false"/>
                      <w:iCs w:val="false"/>
                      <w:color w:val="0D2B5E"/>
                    </w:rPr>
                    <w:t xml:space="preserve">L2 — 效率层（Efficiency Layer）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333333"/>
                      <w:sz w:val="18"/>
                      <w:szCs w:val="18"/>
                    </w:rPr>
                    <w:t xml:space="preserve">TCER（LOC/Mt） |  I/O Ratio  |  CHR（Cache Hit Rate） |  ETC（无缓存等效消耗） |  CAF（缓存调整因子）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1A4894"/>
                      <w:sz w:val="18"/>
                      <w:szCs w:val="18"/>
                    </w:rPr>
                    <w:t xml:space="preserve">对L1数据进行归一化，引入缓存修正，使跨session、跨模型的效率对比成为可能。</w:t>
                  </w:r>
                </w:p>
              </w:tc>
            </w:tr>
          </w:tbl>
          <w:p>
            <w:pPr>
              <w:spacing w:after="240" w:before="0"/>
            </w:pP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4894"/>
                <w:sz w:val="28"/>
                <w:szCs w:val="28"/>
              </w:rPr>
              <w:t xml:space="preserve">↓</w:t>
            </w:r>
          </w:p>
          <w:p>
            <w:pPr>
              <w:spacing w:after="0" w:before="240"/>
            </w:pPr>
          </w:p>
          <w:tbl>
            <w:tblPr>
              <w:tblW w:type="pct" w:w="100%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nil" w:color="FFFFFF" w:sz="0"/>
                <w:insideV w:val="nil" w:color="FFFFFF" w:sz="0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2A7A8A" w:sz="6"/>
                    <w:left w:val="single" w:color="2A7A8A" w:sz="6"/>
                    <w:bottom w:val="single" w:color="2A7A8A" w:sz="6"/>
                    <w:right w:val="single" w:color="2A7A8A" w:sz="6"/>
                  </w:tcBorders>
                  <w:shd w:fill="E4EFF2" w:color="auto" w:val="clear"/>
                  <w:tcMar>
                    <w:top w:type="dxa" w:w="360"/>
                    <w:left w:type="dxa" w:w="504"/>
                    <w:bottom w:type="dxa" w:w="360"/>
                    <w:right w:type="dxa" w:w="504"/>
                  </w:tcMar>
                </w:tcPr>
                <w:p>
                  <w:pPr>
                    <w:spacing w:after="120" w:line="408" w:lineRule="auto"/>
                  </w:pPr>
                  <w:r>
                    <w:rPr>
                      <w:b/>
                      <w:bCs/>
                      <w:i w:val="false"/>
                      <w:iCs w:val="false"/>
                      <w:color w:val="0D2B5E"/>
                    </w:rPr>
                    <w:t xml:space="preserve">L3 — 质量层（Quality Layer）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333333"/>
                      <w:sz w:val="18"/>
                      <w:szCs w:val="18"/>
                    </w:rPr>
                    <w:t xml:space="preserve">Code Churn Rate  |  NCPI（净代码产出指数） |  Test Coverage Delta  |  Cyclomatic Complexity Delta  |  Defect Density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2A7A8A"/>
                      <w:sz w:val="18"/>
                      <w:szCs w:val="18"/>
                    </w:rPr>
                    <w:t xml:space="preserve">衡量代码质量信号，防止"高LOC低质量"的假性效率。需结合 git 历史分析与静态代码检查工具。</w:t>
                  </w:r>
                </w:p>
              </w:tc>
            </w:tr>
          </w:tbl>
          <w:p>
            <w:pPr>
              <w:spacing w:after="240" w:before="0"/>
            </w:pP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4894"/>
                <w:sz w:val="28"/>
                <w:szCs w:val="28"/>
              </w:rPr>
              <w:t xml:space="preserve">↓</w:t>
            </w:r>
          </w:p>
          <w:p>
            <w:pPr>
              <w:spacing w:after="0" w:before="240"/>
            </w:pPr>
          </w:p>
          <w:tbl>
            <w:tblPr>
              <w:tblW w:type="pct" w:w="100%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nil" w:color="FFFFFF" w:sz="0"/>
                <w:insideV w:val="nil" w:color="FFFFFF" w:sz="0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2A7A3B" w:sz="6"/>
                    <w:left w:val="single" w:color="2A7A3B" w:sz="6"/>
                    <w:bottom w:val="single" w:color="2A7A3B" w:sz="6"/>
                    <w:right w:val="single" w:color="2A7A3B" w:sz="6"/>
                  </w:tcBorders>
                  <w:shd w:fill="EDF7EF" w:color="auto" w:val="clear"/>
                  <w:tcMar>
                    <w:top w:type="dxa" w:w="360"/>
                    <w:left w:type="dxa" w:w="504"/>
                    <w:bottom w:type="dxa" w:w="360"/>
                    <w:right w:type="dxa" w:w="504"/>
                  </w:tcMar>
                </w:tcPr>
                <w:p>
                  <w:pPr>
                    <w:spacing w:after="120" w:line="408" w:lineRule="auto"/>
                  </w:pPr>
                  <w:r>
                    <w:rPr>
                      <w:b/>
                      <w:bCs/>
                      <w:i w:val="false"/>
                      <w:iCs w:val="false"/>
                      <w:color w:val="0D2B5E"/>
                    </w:rPr>
                    <w:t xml:space="preserve">L4 — 经济层（Economic Layer）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333333"/>
                      <w:sz w:val="18"/>
                      <w:szCs w:val="18"/>
                    </w:rPr>
                    <w:t xml:space="preserve">CPE / $/kLOC  |  $/功能点  |  ROI  |  月度Token预算利用率  |  模型切换节约预测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2A7A3B"/>
                      <w:sz w:val="18"/>
                      <w:szCs w:val="18"/>
                    </w:rPr>
                    <w:t xml:space="preserve">将效率指标转化为财务决策依据，支持预算分配、模型选型和会话策略的成本效益分析。</w:t>
                  </w:r>
                </w:p>
              </w:tc>
            </w:tr>
          </w:tbl>
          <w:p>
            <w:pPr>
              <w:spacing w:after="240" w:before="0"/>
            </w:pP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4894"/>
                <w:sz w:val="28"/>
                <w:szCs w:val="28"/>
              </w:rPr>
              <w:t xml:space="preserve">↓</w:t>
            </w:r>
          </w:p>
          <w:p>
            <w:pPr>
              <w:spacing w:after="0" w:before="240"/>
            </w:pPr>
          </w:p>
          <w:tbl>
            <w:tblPr>
              <w:tblW w:type="pct" w:w="100%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nil" w:color="FFFFFF" w:sz="0"/>
                <w:insideV w:val="nil" w:color="FFFFFF" w:sz="0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8860A" w:sz="6"/>
                    <w:left w:val="single" w:color="C8860A" w:sz="6"/>
                    <w:bottom w:val="single" w:color="C8860A" w:sz="6"/>
                    <w:right w:val="single" w:color="C8860A" w:sz="6"/>
                  </w:tcBorders>
                  <w:shd w:fill="FFF4E0" w:color="auto" w:val="clear"/>
                  <w:tcMar>
                    <w:top w:type="dxa" w:w="360"/>
                    <w:left w:type="dxa" w:w="504"/>
                    <w:bottom w:type="dxa" w:w="360"/>
                    <w:right w:type="dxa" w:w="504"/>
                  </w:tcMar>
                </w:tcPr>
                <w:p>
                  <w:pPr>
                    <w:spacing w:after="120" w:line="408" w:lineRule="auto"/>
                  </w:pPr>
                  <w:r>
                    <w:rPr>
                      <w:b/>
                      <w:bCs/>
                      <w:i w:val="false"/>
                      <w:iCs w:val="false"/>
                      <w:color w:val="0D2B5E"/>
                    </w:rPr>
                    <w:t xml:space="preserve">L5 — 综合层（Composite Layer）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333333"/>
                      <w:sz w:val="18"/>
                      <w:szCs w:val="18"/>
                    </w:rPr>
                    <w:t xml:space="preserve">CTEI（复合Token效率指数） |  TA-TCER（任务调整后TCER） |  项目阶段效率曲线  |  模型ROI对标矩阵</w:t>
                  </w:r>
                </w:p>
                <w:p>
                  <w:pPr>
                    <w:spacing w:after="120" w:line="408" w:lineRule="auto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C8860A"/>
                      <w:sz w:val="18"/>
                      <w:szCs w:val="18"/>
                    </w:rPr>
                    <w:t xml:space="preserve">多维指标的综合评估与对标体系，提供可解释的单一分数，支持历史趋势分析和跨项目基准对比。</w:t>
                  </w:r>
                </w:p>
              </w:tc>
            </w:tr>
          </w:tbl>
          <w:p>
            <w:pPr>
              <w:spacing w:after="240" w:before="0"/>
            </w:pPr>
          </w:p>
        </w:tc>
      </w:tr>
    </w:tbl>
    <w:p>
      <w:pPr>
        <w:spacing w:after="24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6.2 核心指标精确定义</w:t>
      </w:r>
    </w:p>
    <w:p>
      <w:pPr>
        <w:pStyle w:val="Heading4"/>
        <w:spacing w:after="80" w:before="200" w:line="384" w:lineRule="auto"/>
      </w:pPr>
      <w:r>
        <w:rPr>
          <w:rFonts w:ascii="Calibri" w:cs="Calibri" w:eastAsia="Calibri" w:hAnsi="Calibri"/>
          <w:color w:val="1A4894"/>
          <w:sz w:val="22"/>
          <w:szCs w:val="22"/>
        </w:rPr>
        <w:t xml:space="preserve">TCER（Token-to-Code Efficiency Ratio，Token转码效率比）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TCER = ΔNetLOC / T_total_M</w:t>
            </w:r>
          </w:p>
          <w:p>
            <w:pPr>
              <w:spacing w:after="120" w:line="408" w:lineRule="auto"/>
            </w:pPr>
            <w:r>
              <w:t xml:space="preserve">[单位：LOC/Mt]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用途：最直观的第一层效率指标，但受任务类型干扰大，需配合任务类型调整系数使用。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用户数据统计：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均值72.02，中位数76.59，标准差24.21，CV=33.6%</w:t>
      </w:r>
    </w:p>
    <w:p>
      <w:pPr>
        <w:pStyle w:val="Heading4"/>
        <w:spacing w:after="80" w:before="200" w:line="384" w:lineRule="auto"/>
      </w:pPr>
      <w:r>
        <w:rPr>
          <w:rFonts w:ascii="Calibri" w:cs="Calibri" w:eastAsia="Calibri" w:hAnsi="Calibri"/>
          <w:color w:val="1A4894"/>
          <w:sz w:val="22"/>
          <w:szCs w:val="22"/>
        </w:rPr>
        <w:t xml:space="preserve">NCPI（Net Code Production Index，净代码产出指数）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NCPI = ΔNetLOC / LOC_accumulated_total</w:t>
            </w:r>
          </w:p>
          <w:p>
            <w:pPr>
              <w:spacing w:after="120" w:line="408" w:lineRule="auto"/>
            </w:pPr>
            <w:r>
              <w:t xml:space="preserve">[无量纲，∈ (0, 1)]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用途：衡量单次session对整个代码库的"贡献密度"。项目成熟后NCPI自然下降（重构比新增多），是项目阶段的隐含信号。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用户数据：从0.290（早期，4.21）下降至0.017—0.051（成熟期，5.13—5.14），完美符合软件开发生命周期规律。</w:t>
      </w:r>
    </w:p>
    <w:p>
      <w:pPr>
        <w:pStyle w:val="Heading4"/>
        <w:spacing w:after="80" w:before="200" w:line="384" w:lineRule="auto"/>
      </w:pPr>
      <w:r>
        <w:rPr>
          <w:rFonts w:ascii="Calibri" w:cs="Calibri" w:eastAsia="Calibri" w:hAnsi="Calibri"/>
          <w:color w:val="1A4894"/>
          <w:sz w:val="22"/>
          <w:szCs w:val="22"/>
        </w:rPr>
        <w:t xml:space="preserve">CHR（Cache Hit Rate，缓存命中率）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CHR = T_cache_read / (T_input_uncached + T_cache_write + T_cache_read)</w:t>
            </w:r>
          </w:p>
          <w:p>
            <w:pPr>
              <w:spacing w:after="120" w:line="408" w:lineRule="auto"/>
            </w:pPr>
            <w:r>
              <w:t xml:space="preserve">[百分比]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用途：直接衡量 prompt caching 的利用效率，是降低 $/Mt 的核心杠杆。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数据来源：需要 API 原始响应的 token breakdown 字段（Claude 返回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cache_read_input_tokens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字段）。</w:t>
      </w:r>
    </w:p>
    <w:p>
      <w:pPr>
        <w:pStyle w:val="Heading4"/>
        <w:spacing w:after="80" w:before="200" w:line="384" w:lineRule="auto"/>
      </w:pPr>
      <w:r>
        <w:rPr>
          <w:rFonts w:ascii="Calibri" w:cs="Calibri" w:eastAsia="Calibri" w:hAnsi="Calibri"/>
          <w:color w:val="1A4894"/>
          <w:sz w:val="22"/>
          <w:szCs w:val="22"/>
        </w:rPr>
        <w:t xml:space="preserve">CPE（Cost Per Effective kLOC，有效千行代码成本）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CPE = Cost_session / ΔNetLOC × 1000</w:t>
            </w:r>
          </w:p>
          <w:p>
            <w:pPr>
              <w:spacing w:after="120" w:line="408" w:lineRule="auto"/>
            </w:pPr>
            <w:r>
              <w:t xml:space="preserve">[单位：$/kLOC]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用途：财务可比指标，可跨项目、跨模型对标。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用户数据：范围 $4.44—$28.40，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均值 $9.21，中位数 $8.22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（kLOC）</w:t>
      </w:r>
    </w:p>
    <w:p>
      <w:pPr>
        <w:pStyle w:val="Heading4"/>
        <w:spacing w:after="80" w:before="200" w:line="384" w:lineRule="auto"/>
      </w:pPr>
      <w:r>
        <w:rPr>
          <w:rFonts w:ascii="Calibri" w:cs="Calibri" w:eastAsia="Calibri" w:hAnsi="Calibri"/>
          <w:color w:val="1A4894"/>
          <w:sz w:val="22"/>
          <w:szCs w:val="22"/>
        </w:rPr>
        <w:t xml:space="preserve">I/O Ratio（Input-Output Token Ratio，输入输出Token比）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I/O = T_input_effective / T_output</w:t>
            </w:r>
          </w:p>
          <w:p>
            <w:pPr>
              <w:spacing w:after="120" w:line="408" w:lineRule="auto"/>
            </w:pPr>
            <w:r>
              <w:t xml:space="preserve">[倍数，典型范围 3:1—10:1]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用途：区分"上下文密集型任务"（高I/O，如代码审查）与"生成密集型任务"（低I/O，如greenfield开发）。高I/O session应期待较低TCER，这是结构性现象而非效率问题。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6.3 CTEI综合指数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CTEI（Composite Token Efficiency Index，复合Token效率指数）是本报告提出的多维综合评分指数，将五层指标体系归一化为可横向对比的单一分数：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CTEI = (TCER / TCER_baseline)
     × (NCPI_adjusted)
     × (CPE_baseline / CPE)
     × CHR_factor
其中：
  TCER_baseline   = 数据集中位数（76.59 LOC/Mt）
  NCPI_adjusted   = NCPI / NCPI_phase_expected（消除项目成熟度影响）
  CHR_factor      = 1 + CHR × 0.5（缓存命中率每提升10%，CTEI额外奖励5%）
  CPE_baseline    = 数据集中位数（$8.22/kLOC）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BFD8" w:sz="6"/>
              <w:left w:val="single" w:color="B0BFD8" w:sz="6"/>
              <w:bottom w:val="single" w:color="B0BFD8" w:sz="6"/>
              <w:right w:val="single" w:color="B0BFD8" w:sz="6"/>
            </w:tcBorders>
            <w:shd w:fill="FAFBFF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图2：各Session CTEI综合指数评分（按评级着色）</w:t>
            </w: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666666"/>
                <w:sz w:val="18"/>
                <w:szCs w:val="18"/>
              </w:rPr>
              <w:t xml:space="preserve">CTEI &gt; 2.0 = 优秀 ■ 1.0—2.0 = 良好 ■ 0.5—1.0 = 中等 ■ &lt; 0.5 = 低效/极端低效</w:t>
            </w:r>
          </w:p>
          <w:p>
            <w:pPr>
              <w:spacing w:after="120" w:line="408" w:lineRule="auto"/>
            </w:pPr>
            <w:r>
              <w:t xml:space="preserve">Session</w:t>
            </w:r>
          </w:p>
          <w:p>
            <w:pPr>
              <w:spacing w:after="120" w:line="408" w:lineRule="auto"/>
            </w:pPr>
            <w:r>
              <w:t xml:space="preserve">CTEI 评分可视化（最大值≈5.02）</w:t>
            </w:r>
          </w:p>
          <w:p>
            <w:pPr>
              <w:spacing w:after="120" w:line="408" w:lineRule="auto"/>
            </w:pPr>
            <w:r>
              <w:t xml:space="preserve">CTEI</w:t>
            </w:r>
          </w:p>
          <w:p>
            <w:pPr>
              <w:spacing w:after="120" w:line="408" w:lineRule="auto"/>
            </w:pPr>
            <w:r>
              <w:t xml:space="preserve">评级</w:t>
            </w:r>
          </w:p>
          <w:p>
            <w:pPr>
              <w:spacing w:after="120" w:line="408" w:lineRule="auto"/>
            </w:pPr>
            <w:r>
              <w:t xml:space="preserve">4.22 / 5.3-codex</w:t>
            </w:r>
          </w:p>
          <w:p>
            <w:pPr>
              <w:spacing w:after="120" w:line="408" w:lineRule="auto"/>
            </w:pPr>
            <w:r>
              <w:t xml:space="preserve">5.017</w:t>
            </w:r>
          </w:p>
          <w:p>
            <w:pPr>
              <w:spacing w:after="120" w:line="408" w:lineRule="auto"/>
            </w:pPr>
            <w:r>
              <w:t xml:space="preserve">🟢 优秀</w:t>
            </w:r>
          </w:p>
          <w:p>
            <w:pPr>
              <w:spacing w:after="120" w:line="408" w:lineRule="auto"/>
            </w:pPr>
            <w:r>
              <w:t xml:space="preserve">4.23 / 5.4</w:t>
            </w:r>
          </w:p>
          <w:p>
            <w:pPr>
              <w:spacing w:after="120" w:line="408" w:lineRule="auto"/>
            </w:pPr>
            <w:r>
              <w:t xml:space="preserve">3.731</w:t>
            </w:r>
          </w:p>
          <w:p>
            <w:pPr>
              <w:spacing w:after="120" w:line="408" w:lineRule="auto"/>
            </w:pPr>
            <w:r>
              <w:t xml:space="preserve">🟢 优秀</w:t>
            </w:r>
          </w:p>
          <w:p>
            <w:pPr>
              <w:spacing w:after="120" w:line="408" w:lineRule="auto"/>
            </w:pPr>
            <w:r>
              <w:t xml:space="preserve">4.21 / 5.3-codex</w:t>
            </w:r>
          </w:p>
          <w:p>
            <w:pPr>
              <w:spacing w:after="120" w:line="408" w:lineRule="auto"/>
            </w:pPr>
            <w:r>
              <w:t xml:space="preserve">2.718</w:t>
            </w:r>
          </w:p>
          <w:p>
            <w:pPr>
              <w:spacing w:after="120" w:line="408" w:lineRule="auto"/>
            </w:pPr>
            <w:r>
              <w:t xml:space="preserve">🟢 优秀</w:t>
            </w:r>
          </w:p>
          <w:p>
            <w:pPr>
              <w:spacing w:after="120" w:line="408" w:lineRule="auto"/>
            </w:pPr>
            <w:r>
              <w:t xml:space="preserve">5.12 / 5.4</w:t>
            </w:r>
          </w:p>
          <w:p>
            <w:pPr>
              <w:spacing w:after="120" w:line="408" w:lineRule="auto"/>
            </w:pPr>
            <w:r>
              <w:t xml:space="preserve">1.490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4.28 / 5.4</w:t>
            </w:r>
          </w:p>
          <w:p>
            <w:pPr>
              <w:spacing w:after="120" w:line="408" w:lineRule="auto"/>
            </w:pPr>
            <w:r>
              <w:t xml:space="preserve">1.397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4.27 / 5.3-codex</w:t>
            </w:r>
          </w:p>
          <w:p>
            <w:pPr>
              <w:spacing w:after="120" w:line="408" w:lineRule="auto"/>
            </w:pPr>
            <w:r>
              <w:t xml:space="preserve">1.333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5.15 / 5.4</w:t>
            </w:r>
          </w:p>
          <w:p>
            <w:pPr>
              <w:spacing w:after="120" w:line="408" w:lineRule="auto"/>
            </w:pPr>
            <w:r>
              <w:t xml:space="preserve">1.067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5.11 / 5.4</w:t>
            </w:r>
          </w:p>
          <w:p>
            <w:pPr>
              <w:spacing w:after="120" w:line="408" w:lineRule="auto"/>
            </w:pPr>
            <w:r>
              <w:t xml:space="preserve">1.013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5.2 / 5.4</w:t>
            </w:r>
          </w:p>
          <w:p>
            <w:pPr>
              <w:spacing w:after="120" w:line="408" w:lineRule="auto"/>
            </w:pPr>
            <w:r>
              <w:t xml:space="preserve">1.204</w:t>
            </w:r>
          </w:p>
          <w:p>
            <w:pPr>
              <w:spacing w:after="120" w:line="408" w:lineRule="auto"/>
            </w:pPr>
            <w:r>
              <w:t xml:space="preserve">🔵 良好</w:t>
            </w:r>
          </w:p>
          <w:p>
            <w:pPr>
              <w:spacing w:after="120" w:line="408" w:lineRule="auto"/>
            </w:pPr>
            <w:r>
              <w:t xml:space="preserve">4.22-2 / 5.4</w:t>
            </w:r>
          </w:p>
          <w:p>
            <w:pPr>
              <w:spacing w:after="120" w:line="408" w:lineRule="auto"/>
            </w:pPr>
            <w:r>
              <w:t xml:space="preserve">0.925</w:t>
            </w:r>
          </w:p>
          <w:p>
            <w:pPr>
              <w:spacing w:after="120" w:line="408" w:lineRule="auto"/>
            </w:pPr>
            <w:r>
              <w:t xml:space="preserve">🟡 中等</w:t>
            </w:r>
          </w:p>
          <w:p>
            <w:pPr>
              <w:spacing w:after="120" w:line="408" w:lineRule="auto"/>
            </w:pPr>
            <w:r>
              <w:t xml:space="preserve">5.3 / 5.4</w:t>
            </w:r>
          </w:p>
          <w:p>
            <w:pPr>
              <w:spacing w:after="120" w:line="408" w:lineRule="auto"/>
            </w:pPr>
            <w:r>
              <w:t xml:space="preserve">0.777</w:t>
            </w:r>
          </w:p>
          <w:p>
            <w:pPr>
              <w:spacing w:after="120" w:line="408" w:lineRule="auto"/>
            </w:pPr>
            <w:r>
              <w:t xml:space="preserve">🟡 中等</w:t>
            </w:r>
          </w:p>
          <w:p>
            <w:pPr>
              <w:spacing w:after="120" w:line="408" w:lineRule="auto"/>
            </w:pPr>
            <w:r>
              <w:t xml:space="preserve">4.30 / 5.4</w:t>
            </w:r>
          </w:p>
          <w:p>
            <w:pPr>
              <w:spacing w:after="120" w:line="408" w:lineRule="auto"/>
            </w:pPr>
            <w:r>
              <w:t xml:space="preserve">0.601</w:t>
            </w:r>
          </w:p>
          <w:p>
            <w:pPr>
              <w:spacing w:after="120" w:line="408" w:lineRule="auto"/>
            </w:pPr>
            <w:r>
              <w:t xml:space="preserve">🟡 中等</w:t>
            </w:r>
          </w:p>
          <w:p>
            <w:pPr>
              <w:spacing w:after="120" w:line="408" w:lineRule="auto"/>
            </w:pPr>
            <w:r>
              <w:t xml:space="preserve">4.29 / 5.4</w:t>
            </w:r>
          </w:p>
          <w:p>
            <w:pPr>
              <w:spacing w:after="120" w:line="408" w:lineRule="auto"/>
            </w:pPr>
            <w:r>
              <w:t xml:space="preserve">0.426</w:t>
            </w:r>
          </w:p>
          <w:p>
            <w:pPr>
              <w:spacing w:after="120" w:line="408" w:lineRule="auto"/>
            </w:pPr>
            <w:r>
              <w:t xml:space="preserve">🔴 低效</w:t>
            </w:r>
          </w:p>
          <w:p>
            <w:pPr>
              <w:spacing w:after="120" w:line="408" w:lineRule="auto"/>
            </w:pPr>
            <w:r>
              <w:t xml:space="preserve">4.24 / 5.4</w:t>
            </w:r>
          </w:p>
          <w:p>
            <w:pPr>
              <w:spacing w:after="120" w:line="408" w:lineRule="auto"/>
            </w:pPr>
            <w:r>
              <w:t xml:space="preserve">0.253</w:t>
            </w:r>
          </w:p>
          <w:p>
            <w:pPr>
              <w:spacing w:after="120" w:line="408" w:lineRule="auto"/>
            </w:pPr>
            <w:r>
              <w:t xml:space="preserve">🔴 低效</w:t>
            </w:r>
          </w:p>
          <w:p>
            <w:pPr>
              <w:spacing w:after="120" w:line="408" w:lineRule="auto"/>
            </w:pPr>
            <w:r>
              <w:t xml:space="preserve">5.13 / 5.4 ⚠</w:t>
            </w:r>
          </w:p>
          <w:p>
            <w:pPr>
              <w:spacing w:after="120" w:line="408" w:lineRule="auto"/>
            </w:pPr>
            <w:r>
              <w:t xml:space="preserve">0.055</w:t>
            </w:r>
          </w:p>
          <w:p>
            <w:pPr>
              <w:spacing w:after="120" w:line="408" w:lineRule="auto"/>
            </w:pPr>
            <w:r>
              <w:t xml:space="preserve">🔴 极端低效</w:t>
            </w:r>
          </w:p>
          <w:p>
            <w:pPr>
              <w:spacing w:after="120" w:line="408" w:lineRule="auto"/>
            </w:pPr>
            <w:r>
              <w:t xml:space="preserve">5.14 / 5.4 ⚠</w:t>
            </w:r>
          </w:p>
          <w:p>
            <w:pPr>
              <w:spacing w:after="120" w:line="408" w:lineRule="auto"/>
            </w:pPr>
            <w:r>
              <w:t xml:space="preserve">0.044</w:t>
            </w:r>
          </w:p>
          <w:p>
            <w:pPr>
              <w:spacing w:after="120" w:line="408" w:lineRule="auto"/>
            </w:pPr>
            <w:r>
              <w:t xml:space="preserve">🔴 极端低效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6.4 任务类型权重矩阵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不同任务类型的"预期TCER"差异巨大，必须在评估时引入任务类型调整系数（Task Type Adjustment Factor，TTAF）：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任务类型</w:t>
            </w:r>
          </w:p>
        </w:tc>
        <w:tc>
          <w:tcPr>
            <w:tcW w:type="pct" w:w="2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预期TCER范围</w:t>
            </w:r>
          </w:p>
        </w:tc>
        <w:tc>
          <w:tcPr>
            <w:tcW w:type="pct" w:w="2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NCPI特征</w:t>
            </w:r>
          </w:p>
        </w:tc>
        <w:tc>
          <w:tcPr>
            <w:tcW w:type="pct" w:w="16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$/kLOC特征</w:t>
            </w:r>
          </w:p>
        </w:tc>
        <w:tc>
          <w:tcPr>
            <w:tcW w:type="pct" w:w="15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TTAF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新功能开发（greenfield）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80—150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高（0.10—0.30）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低（$3—8）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1.00（基准）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功能扩展（existing codebase）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50—100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中（0.05—0.15）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中（$6—12）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0.85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Bug调试（debug/fix）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10—40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低（0.005—0.05）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高（$15—50）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0.40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重构（refactor）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20—60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极低（可为负）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高（$12—30）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代码审查（review）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5—20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接近0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极高（$50+）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0.20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测试编写（test generation）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60—120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中（测试行数专项）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中（$5—10）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0.90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引入 TTAF 后，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任务调整TCER（TA-TCER）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定义为：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TA-TCER = TCER / TTAF_session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TA-TCER 使得不同任务类型的 session 可以在同一刻度上对比。例如，一个调试 session 的 TCER=35.0 LOC/Mt，TA-TCER = 35.0 / 0.40 =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87.5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——意味着这个调试 session 相对于调试任务基准而言，效率远优于表面数字所显示的。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6.5 项目阶段调整系数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基于用户数据的 LOC-TCER 线性回归分析（NCPI 作为协变量）：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TCER = -0.000866 × LOC_accumulated + 83.64
（皮尔逊 r = -0.22，弱负相关；p值需更多数据验证）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解读：项目代码库每增长 1,000 LOC，预期 TCER 下降约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0.866 LOC/Mt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。在泽奥的数据范围内（4,666—23,694 LOC），这意味着从项目初期到当前阶段，仅因代码库增长导致的 TCER 结构性下降约为：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ΔTCER_structural = -0.000866 × (23,694 − 4,666) = -16.5 LOC/Mt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这体现了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大型代码库维护税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——随代码库增长，每个新改动需要更多上下文注入（文件读取/理解/定位），导致相同 token 消耗产出的净新代码减少。这是结构性规律，而非效率退化。引入项目阶段调整系数（PSAC）后：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PSAC = 83.64 / (83.64 - 0.000866 × LOC_current)
TCER_phase_adj = TCER × PSAC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7. 跨模型效率对标（5.3-codex vs 5.4）</w:t>
      </w:r>
    </w:p>
    <w:p>
      <w:pPr>
        <w:pBdr>
          <w:top w:val="single" w:color="1A4894" w:sz="6"/>
        </w:pBd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本节在控制已知混杂因素的基础上，对两个模型进行系统对比分析。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pct" w:w="3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Claude 5.3-codex</w:t>
            </w:r>
          </w:p>
        </w:tc>
        <w:tc>
          <w:tcPr>
            <w:tcW w:type="pct" w:w="20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Claude 5.4</w:t>
            </w:r>
          </w:p>
        </w:tc>
        <w:tc>
          <w:tcPr>
            <w:tcW w:type="pct" w:w="28%"/>
            <w:shd w:fill="1A489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差异及解读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加权TCER（原始）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75.10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66.83 LOC/Mt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+12.4% 优势（未控制任务类型）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$/kLOC（原始）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$6.26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$9.85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低36.4%（显著）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$/kLOC（剔除极端日5.13/5.14后）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$6.26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$8.09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差距收窄至29%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平均$/Mt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$0.482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$0.641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低24.8%（定价差 + 可能更高CHR）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Session代码库体量（均值）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~6,754 LOC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~15,384 LOC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5.4 session在更大代码库上作业（结构性不利）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PSAC调整后TCER估算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~73.8 LOC/Mt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~76.5 LOC/Mt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引入项目阶段系数后，5.4 反超5.3-codex（差异反转）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OckBench理论差异上限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相同精度下模型间差异可达 5.0× （arXiv:2511.05722）</w:t>
            </w:r>
          </w:p>
        </w:tc>
        <w:tc>
          <w:tcPr>
            <w:tcW w:type="pct" w:w="20%"/>
            <w:gridSpan w:val="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用户观测差异（12—57%）在合理范围内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核心结论：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在不控制任务类型和项目阶段的情况下，5.3-codex 表面上优于 5.4（$/kLOC 低36.4%）。然而，引入项目阶段调整系数（PSAC）后，差异几乎消失甚至反转——5.4 在更大代码库上完成了更复杂的任务。真正导致5.4成本偏高的因素是：（1）两个极端低效日（5.13、5.14）贡献了不成比例的成本；（2）5.4 session平均代码库规模是5.3-codex的2.3倍，结构性overhead更高。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4894" w:sz="6"/>
              <w:left w:val="single" w:color="1A4894" w:sz="6"/>
              <w:bottom w:val="single" w:color="1A4894" w:sz="6"/>
              <w:right w:val="single" w:color="1A4894" w:sz="6"/>
            </w:tcBorders>
            <w:shd w:fill="EEF2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rPr>
                <w:b/>
                <w:bCs/>
                <w:i w:val="false"/>
                <w:iCs w:val="false"/>
                <w:color w:val="0D2B5E"/>
              </w:rPr>
              <w:t xml:space="preserve">模型选型建议（基于当前数据）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对于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相对简单的功能开发任务、代码库体量较小（&lt;10,000 LOC）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：优先考虑 5.3-codex，预期 $/kLOC 约 $6—7，TCER 约 75—90。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对于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需要深度推理的架构设计、大型代码库（&gt;15,000 LOC）的复杂任务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：5.4 的质量溢价可能值得，通过 CHR 优化可将成本差距缩小至15—20%。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关键前提：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任何模型对比必须在相同任务类型分布下进行，否则均为"苹果比橙子"的无效对标。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8. 行业最佳实践与优化路径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8.1 Quick Wins — 立即可实施（1—3天）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部署 token-stats 或 TokenLens：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立即获得 CHR（缓存命中率）的可见性。将 CHR &gt; 40% 作为初始目标。无需更改开发流程，仅需加载一个 Claude Code slash 命令或运行一个 Python 脚本。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预期效果：明确识别缓存失效的 session，为后续优化提供数据基础。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分离 Session 类型记录：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在现有记录表中增加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task_type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字段（新功能/调试/重构/审查），立即消除任务类型混杂对 TCER 比较的干扰。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成本：每次 session 增加30秒标记时间。收益：TCER 对比的信噪比提升约50%。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记录 I/O Ratio 近似值：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 Claude Code 中，API 响应头包含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cache_read_input_tokens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cache_creation_input_tokens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，可通过工具脚本自动提取，无需手工记录。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8.2 中期优化（1—4周）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上下文窗口工程（Context Window Engineering）：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将稳定内容（系统 prompt、项目规范、长期参考文档、代码框架）置于 prompt 前缀位置，触发 Anthropic 的 prompt caching。动态内容（用户 query、当前编辑文件差异）置于末尾。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实践建议：缓存块 &gt; 4,096 tokens，确保跨 session 持续命中；避免在 session 中间修改前缀内容，否则会触发全量 cache miss。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会话分割策略（Session Splitting）：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超长 session（如 5.13 的 37.45M tokens 可能来自单一超长对话）应主动拆分为多个独立短 session，每个聚焦单一任务。Tokalator 论文证明：使用摘要策略替代全历史策略，可将多轮对话成本从 O(T²) 降低至近似 O(1)，同时保持约85%的上下文连贯性。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模型路由策略（Model Routing）：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简单任务（代码补全、格式化、简单 bug fix、文档生成）路由到 5.3-codex 或相当层级；复杂推理任务（架构设计、多文件重构、性能优化）使用 5.4。按 OckBench 数据，合理路由可节省 60—95% 成本，且不牺牲输出质量。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8.3 长期系统建设（1—3个月）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建立个人 CTEI 基准数据库：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积累 100+ 个 session 后，按任务类型分类计算专项 TCER 基准值，使 CTEI 评估从基于全局均值改进为基于分类均值，大幅提高评估精度。目标：每种任务类型至少30个有效 session 样本。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集成代码质量指标（L3层）：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 LOC delta 之外，加入 cyclomatic complexity delta（工具：radon/lizard）、test coverage delta（工具：coverage.py/jest）、code churn rate（工具：git log 分析）。将质量信号纳入 CTEI，防止"快速产出低质量代码"导致的 CTEI 虚高。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项目阶段标记与成本预测：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在记录中加入当日代码库 LOC 规模，自动计算 PSAC 系数，生成按项目阶段调整后的成本预测曲线。预测当代码库到达50,000 LOC时，TCER 结构性下降约为 23.8 LOC/Mt，CPE 将上升约35%——使预算规划更加精准。</w:t>
      </w: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9. 展望与结论</w:t>
      </w:r>
    </w:p>
    <w:p>
      <w:pPr>
        <w:pBdr>
          <w:top w:val="single" w:color="1A4894" w:sz="6"/>
        </w:pBdr>
        <w:spacing w:after="200" w:before="0"/>
      </w:pP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9.1 短期展望（2026年下半年）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随着主要模型供应商持续降价（GPT-5 系列、Claude 4 系列、Gemini 3 的三方竞争格局已基本确立），以及缓存 TTL 延长和跨会话缓存共享功能的进一步普及，$/Mt 成本有望在2026年底前进一步下降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20—40%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。KV cache 优化技术（MLA、GQA）和 speculative decoding 的广泛应用将使 token 处理速度提升，间接改善 TTFT 和开发者体验。OckBench、SWE-Bench、Tokalator 等评估框架的出现，预示着业界将逐步建立 token 效率的标准化对标体系，使跨组织、跨项目的效率比较成为可能。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9.2 中期展望（2027年）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AI 编程工具将内置更完善的 session analytics，开发者将能直接在 IDE 中查看实时 TCER / CHR / CPE 仪表盘，无需依赖外部工具（TokenLens、aidash 等）。任务类型自动分类将成为标配功能——工具将自动判断当前是 debug / feature / refactor session，并实时调整计量基准，输出任务调整后的 TA-TCER 而非原始 TCER。模型路由将从手工决策演进为基于实时 token 效率预测的自动路由，进一步降低开发者的认知负担。</w:t>
      </w:r>
    </w:p>
    <w:p>
      <w:pPr>
        <w:pStyle w:val="Heading3"/>
        <w:spacing w:after="100" w:before="280" w:line="312" w:lineRule="auto"/>
      </w:pPr>
      <w:r>
        <w:rPr>
          <w:rFonts w:ascii="Calibri" w:cs="Calibri" w:eastAsia="Calibri" w:hAnsi="Calibri"/>
          <w:color w:val="1A4894"/>
          <w:sz w:val="26"/>
          <w:szCs w:val="26"/>
        </w:rPr>
        <w:t xml:space="preserve">9.3 核心结论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泽奥自建的"每百万token产出代码行"记录体系具有极强的直觉性和可操作性，是目前可查阅到的少数真实长期 AI 编程效率记录案例之一。本报告的分析表明：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1A4894" w:sz="24"/>
              <w:bottom w:val="nil" w:color="FFFFFF" w:sz="0"/>
              <w:right w:val="nil" w:color="FFFFFF" w:sz="0"/>
            </w:tcBorders>
            <w:shd w:fill="F0F4FC" w:color="auto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120" w:line="408" w:lineRule="auto"/>
            </w:pPr>
            <w:r>
              <w:t xml:space="preserve">CV=33.6% 的高方差不是测量误差，而是真实信号——它反映了任务类型、缓存状态、项目阶段三大因素对 TCER 的系统性影响。科学计量的目标，不是消除这个方差，而是解释它、分解它，并从中提取可操作的决策信号。</w:t>
            </w:r>
          </w:p>
        </w:tc>
      </w:tr>
    </w:tbl>
    <w:p>
      <w:pPr>
        <w:spacing w:after="240" w:before="0"/>
      </w:pPr>
    </w:p>
    <w:p>
      <w:pPr>
        <w:spacing w:after="240" w:before="60" w:line="38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本报告提出的五层指标体系和 CTEI 综合指数，通过引入任务类型调整（TTAF）、缓存命中率修正（CAF/CHR）、项目阶段系数（PSAC），将单一 TCER 提升为一个信噪比显著更高的多维评估框架。</w:t>
      </w:r>
    </w:p>
    <w:p>
      <w:pPr>
        <w:spacing w:after="240" w:before="60" w:line="384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最终结论，一句话概括：Token 不是纯粹的"成本"，而是开发活动的多维信号。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相同的 token 消耗，在不同任务类型、不同缓存策略、不同项目阶段下，产生的代码产出和质量可以相差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5倍以上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（用户数据：TCER 极端值比为 113.76 / 28.62 = 3.97×，CTEI 比为 5.017 / 0.044 = 114×）。科学计量的目标，不是最小化 token 消耗，而是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最大化每个 token 的有效价值（Value Per Token）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——这是 AI 辅助编程时代开发者效率工程的核心命题。</w:t>
      </w:r>
    </w:p>
    <w:p>
      <w:pPr>
        <w:pStyle w:val="Heading2"/>
        <w:spacing w:after="100" w:before="400" w:line="312" w:lineRule="auto"/>
      </w:pPr>
      <w:r>
        <w:rPr>
          <w:rFonts w:ascii="Calibri" w:cs="Calibri" w:eastAsia="Calibri" w:hAnsi="Calibri"/>
          <w:color w:val="0D2B5E"/>
          <w:sz w:val="32"/>
          <w:szCs w:val="32"/>
        </w:rPr>
        <w:t xml:space="preserve">10. 参考文献</w:t>
      </w:r>
    </w:p>
    <w:p>
      <w:pPr>
        <w:pBdr>
          <w:top w:val="single" w:color="1A4894" w:sz="6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Du, Z., Kang, H., Han, S., Krishna, T., &amp; Zhu, L. (2026, Feb).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OckBench: Measuring the Efficiency of LLM Reasoning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arXiv:2511.05722v2 [cs.CL]. — 证明相同精度下模型间 token 效率可相差5.0倍的核心文献。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Hu, J., Zheng, W., &amp; Liu, Y. (2025, May).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Optimizing Token Consumption in LLMs: A Nano Surge Approach for Code Reasoning Efficiency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arXiv:2504.15989 [cs.SE]. — 代码推理任务的 token 优化方法论。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Anthropic. (2025, Aug).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Prompt Caching with Claude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Anthropic Blog. anthropic.com. — Claude prompt caching 官方文档，缓存定价与 TTL 配置参考来源。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Anthropic. (2025, Mar).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Token-saving updates on the Anthropic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Anthropic Blog. anthropic.com. — Workspace 级缓存隔离及 2026 年 2 月策略更新。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Zeydan, E. et al.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Tokalator: A Context Engineering Toolkit for Artificial Intelligence Coding Assistants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arXiv [cs.SE]. — 九大计算器框架，多轮对话成本分析，缓存 ROI 计算方法论来源。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OpenAI.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Governance – Codex: Governance and Observability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OpenAI Developers Documentation. platform.openai.com. — Codex CLI 的 token 可观测性 API 字段规范。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SigNoz. (2026, Jan).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OpenAI Codex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SigNoz Documentation. — 跨模型 token 监控仪表盘实现参考。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gitstq.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TokenLens: Lightweight AI Coding Cost Intelligent Analysis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GitHub: gitstq/TokenLens. MIT License. — 18+工具多维分析，35+模型定价数据。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nasundar.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aidash: Terminal Dashboard for AI Coding Assistants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GitHub: nasundar/aidash. MIT License. — Output vs Input ratio 实时可视化，Rust实现。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clawlabz.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token-stats: Universal AI Token Usage Stats for Claude Code, OpenClaw, Codex CLI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GitHub: clawlabz/token-stats. MIT License. — CHR 直接计算工具，CacheHit% 字段来源。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AgentPatterns.ai.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Prompt Cache Economics: Comparing Costs by Provider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agentpatterns.ai. — 500+ agent sessions 跨提供商缓存效益对比，41—80% 成本节约数据来源。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DORA Research Program / Google Cloud. (2025, Sep).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The 2025 DORA Report: State of AI-Assisted Software Development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Google Cloud Blog. — AI辅助编程行业基准数据，开发者工作流分析。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Pragmatic AI Labs. (2025, Feb).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AI Coding Assistants: Statistical Twins of Rogue Developers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pragmaticlabs.com. — 44.97M LOC 分析，AI代码 churn rate 与 rogue developer 相关性 r=0.92，架构边界缺陷集中率62%数据来源。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Anonymous.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Don't Break the Cache: An Evaluation of Prompt Caching for Long-Horizon Agentic Tasks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arXiv [cs.AI]. — 500+ agent sessions 实验，TTFT 改善13—31%，成本降低41—80% 数据来源。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pleasedodisturb. (2026).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awesome-llm-token-optimization: A Curated List of Strategies, Tools, Papers, and Resources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GitHub: pleasedodisturb/awesome-llm-token-optimization. MIT License. — token优化策略综述，行业工具生态图谱。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Fajarix. (2025).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GitHub Copilot Usage Based Billing Cost: What CTOs Must Know in 2025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Fajarix Blog. — 企业级 AI 编程成本规划，$/LOC 行业基准数据参考。</w:t>
      </w:r>
    </w:p>
    <w:p>
      <w:pPr>
        <w:pBdr>
          <w:bottom w:val="single" w:color="B0BFD8" w:sz="6"/>
        </w:pBdr>
        <w:spacing w:after="240" w:before="240"/>
      </w:pPr>
    </w:p>
    <w:p>
      <w:pPr>
        <w:spacing w:after="240" w:before="60" w:line="384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AI辅助编程的 Token→Code 科学计量体系研究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| 泽奥 | 圣荷西，加利福尼亚，美国 | 2026年5月25日</w:t>
      </w:r>
    </w:p>
    <w:p>
      <w:pPr>
        <w:spacing w:after="240" w:before="60" w:line="384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数据来源：16个实测AI编程Session（2026年4月21日—5月15日）| 研究性报告，仅供技术参考</w:t>
      </w:r>
    </w:p>
    <w:p>
      <w:pPr>
        <w:spacing w:after="240" w:before="60" w:line="384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本报告所有图表均基于用户实测数据生成，指标定义及CTEI公式为原创性框架设计。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Vv1aod6x16Ty3Ahcqz6ca</dc:title>
  <dc:creator>Un-named</dc:creator>
  <dc:description>Generated document</dc:description>
  <cp:lastModifiedBy>Un-named</cp:lastModifiedBy>
  <cp:revision>1</cp:revision>
  <dcterms:created xsi:type="dcterms:W3CDTF">2026-06-18T10:38:37.892Z</dcterms:created>
  <dcterms:modified xsi:type="dcterms:W3CDTF">2026-06-18T10:38:37.893Z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